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E367" w14:textId="77777777" w:rsidR="003429FB" w:rsidRPr="003429FB" w:rsidRDefault="003429FB" w:rsidP="003429FB">
      <w:pPr>
        <w:spacing w:after="0" w:line="240" w:lineRule="auto"/>
        <w:rPr>
          <w:b/>
          <w:bCs/>
          <w:sz w:val="22"/>
          <w:szCs w:val="22"/>
          <w:lang w:val="en-US"/>
        </w:rPr>
      </w:pPr>
      <w:r w:rsidRPr="003429FB">
        <w:rPr>
          <w:b/>
          <w:bCs/>
          <w:sz w:val="22"/>
          <w:szCs w:val="22"/>
          <w:lang w:val="en-US"/>
        </w:rPr>
        <w:t>Salbutamol Medication Card</w:t>
      </w:r>
    </w:p>
    <w:tbl>
      <w:tblPr>
        <w:tblStyle w:val="TableGrid"/>
        <w:tblW w:w="0" w:type="auto"/>
        <w:tblLook w:val="04A0" w:firstRow="1" w:lastRow="0" w:firstColumn="1" w:lastColumn="0" w:noHBand="0" w:noVBand="1"/>
      </w:tblPr>
      <w:tblGrid>
        <w:gridCol w:w="2337"/>
        <w:gridCol w:w="2337"/>
        <w:gridCol w:w="2338"/>
        <w:gridCol w:w="2338"/>
      </w:tblGrid>
      <w:tr w:rsidR="003429FB" w:rsidRPr="003429FB" w14:paraId="70A5D089" w14:textId="77777777" w:rsidTr="00E76986">
        <w:trPr>
          <w:trHeight w:val="1103"/>
        </w:trPr>
        <w:tc>
          <w:tcPr>
            <w:tcW w:w="4674" w:type="dxa"/>
            <w:gridSpan w:val="2"/>
          </w:tcPr>
          <w:p w14:paraId="09D7E68B" w14:textId="3B5979DE" w:rsidR="003429FB" w:rsidRPr="003429FB" w:rsidRDefault="003429FB" w:rsidP="00E76986">
            <w:pPr>
              <w:rPr>
                <w:lang w:val="en-US"/>
              </w:rPr>
            </w:pPr>
            <w:r w:rsidRPr="003429FB">
              <w:rPr>
                <w:b/>
                <w:bCs/>
                <w:lang w:val="en-US"/>
              </w:rPr>
              <w:t>Class</w:t>
            </w:r>
            <w:r w:rsidRPr="003429FB">
              <w:rPr>
                <w:lang w:val="en-US"/>
              </w:rPr>
              <w:t>: Beta-2 Agoni</w:t>
            </w:r>
            <w:r>
              <w:rPr>
                <w:lang w:val="en-US"/>
              </w:rPr>
              <w:t>st</w:t>
            </w:r>
          </w:p>
          <w:p w14:paraId="3AB41B38" w14:textId="77777777" w:rsidR="003429FB" w:rsidRPr="003429FB" w:rsidRDefault="003429FB" w:rsidP="00E76986">
            <w:pPr>
              <w:rPr>
                <w:lang w:val="en-US"/>
              </w:rPr>
            </w:pPr>
          </w:p>
          <w:p w14:paraId="2A84FA14" w14:textId="77777777" w:rsidR="003429FB" w:rsidRPr="003429FB" w:rsidRDefault="003429FB" w:rsidP="00E76986">
            <w:pPr>
              <w:rPr>
                <w:lang w:val="en-US"/>
              </w:rPr>
            </w:pPr>
            <w:r w:rsidRPr="003429FB">
              <w:rPr>
                <w:b/>
                <w:bCs/>
                <w:lang w:val="en-US"/>
              </w:rPr>
              <w:t>Prototype</w:t>
            </w:r>
            <w:r w:rsidRPr="003429FB">
              <w:rPr>
                <w:lang w:val="en-US"/>
              </w:rPr>
              <w:t>: Salbutamol</w:t>
            </w:r>
          </w:p>
          <w:p w14:paraId="4A7A96B9" w14:textId="77777777" w:rsidR="003429FB" w:rsidRPr="003429FB" w:rsidRDefault="003429FB" w:rsidP="00E76986">
            <w:pPr>
              <w:rPr>
                <w:lang w:val="en-US"/>
              </w:rPr>
            </w:pPr>
          </w:p>
          <w:p w14:paraId="5BF51FA8" w14:textId="77777777" w:rsidR="003429FB" w:rsidRPr="003429FB" w:rsidRDefault="003429FB" w:rsidP="00E76986">
            <w:pPr>
              <w:rPr>
                <w:lang w:val="en-US"/>
              </w:rPr>
            </w:pPr>
          </w:p>
        </w:tc>
        <w:tc>
          <w:tcPr>
            <w:tcW w:w="4676" w:type="dxa"/>
            <w:gridSpan w:val="2"/>
          </w:tcPr>
          <w:p w14:paraId="65CC51D0" w14:textId="77777777" w:rsidR="003429FB" w:rsidRPr="003429FB" w:rsidRDefault="003429FB" w:rsidP="00E76986">
            <w:pPr>
              <w:rPr>
                <w:lang w:val="en-US"/>
              </w:rPr>
            </w:pPr>
            <w:r w:rsidRPr="003429FB">
              <w:rPr>
                <w:b/>
                <w:bCs/>
                <w:lang w:val="en-US"/>
              </w:rPr>
              <w:t xml:space="preserve">Indications:  </w:t>
            </w:r>
            <w:r w:rsidRPr="003429FB">
              <w:rPr>
                <w:lang w:val="en-US"/>
              </w:rPr>
              <w:t>bronchodilation</w:t>
            </w:r>
          </w:p>
          <w:p w14:paraId="6A6B73F9" w14:textId="77777777" w:rsidR="003429FB" w:rsidRPr="003429FB" w:rsidRDefault="003429FB" w:rsidP="00E76986">
            <w:pPr>
              <w:rPr>
                <w:b/>
                <w:bCs/>
                <w:lang w:val="en-US"/>
              </w:rPr>
            </w:pPr>
          </w:p>
          <w:p w14:paraId="374D0860" w14:textId="77777777" w:rsidR="003429FB" w:rsidRPr="003429FB" w:rsidRDefault="003429FB" w:rsidP="00E76986">
            <w:pPr>
              <w:rPr>
                <w:b/>
                <w:bCs/>
                <w:lang w:val="en-US"/>
              </w:rPr>
            </w:pPr>
            <w:r w:rsidRPr="003429FB">
              <w:rPr>
                <w:b/>
                <w:bCs/>
                <w:lang w:val="en-US"/>
              </w:rPr>
              <w:t xml:space="preserve">Therapeutic Uses: </w:t>
            </w:r>
          </w:p>
          <w:p w14:paraId="21471A73" w14:textId="77777777" w:rsidR="003429FB" w:rsidRPr="003429FB" w:rsidRDefault="003429FB" w:rsidP="00E76986">
            <w:pPr>
              <w:rPr>
                <w:lang w:val="en-US"/>
              </w:rPr>
            </w:pPr>
            <w:r w:rsidRPr="003429FB">
              <w:rPr>
                <w:lang w:val="en-US"/>
              </w:rPr>
              <w:t>Bronchodilation in asthma or COPD</w:t>
            </w:r>
          </w:p>
          <w:p w14:paraId="3FCE83DF" w14:textId="77777777" w:rsidR="003429FB" w:rsidRPr="003429FB" w:rsidRDefault="003429FB" w:rsidP="00E76986">
            <w:pPr>
              <w:rPr>
                <w:b/>
                <w:bCs/>
                <w:lang w:val="en-US"/>
              </w:rPr>
            </w:pPr>
            <w:r w:rsidRPr="003429FB">
              <w:rPr>
                <w:b/>
                <w:bCs/>
                <w:lang w:val="en-US"/>
              </w:rPr>
              <w:t>Off-label:</w:t>
            </w:r>
            <w:r w:rsidRPr="003429FB">
              <w:rPr>
                <w:lang w:val="en-US"/>
              </w:rPr>
              <w:t xml:space="preserve"> treatment of hyperkalemia</w:t>
            </w:r>
          </w:p>
        </w:tc>
      </w:tr>
      <w:tr w:rsidR="003429FB" w:rsidRPr="003429FB" w14:paraId="797BA79F" w14:textId="77777777" w:rsidTr="00E76986">
        <w:tc>
          <w:tcPr>
            <w:tcW w:w="9350" w:type="dxa"/>
            <w:gridSpan w:val="4"/>
          </w:tcPr>
          <w:p w14:paraId="243DFF66" w14:textId="77777777" w:rsidR="003429FB" w:rsidRPr="003429FB" w:rsidRDefault="003429FB" w:rsidP="00E76986">
            <w:pPr>
              <w:rPr>
                <w:lang w:val="en-US"/>
              </w:rPr>
            </w:pPr>
            <w:r w:rsidRPr="003429FB">
              <w:rPr>
                <w:b/>
                <w:bCs/>
                <w:lang w:val="en-US"/>
              </w:rPr>
              <w:t>Mechanism of Action</w:t>
            </w:r>
            <w:r w:rsidRPr="003429FB">
              <w:rPr>
                <w:lang w:val="en-US"/>
              </w:rPr>
              <w:t>:</w:t>
            </w:r>
            <w:r w:rsidRPr="003429FB">
              <w:t xml:space="preserve"> </w:t>
            </w:r>
            <w:r w:rsidRPr="003429FB">
              <w:rPr>
                <w:lang w:val="en-US"/>
              </w:rPr>
              <w:t>selectively binds to beta-2 adrenergic receptors in airway smooth muscle. This binding increases the formation of intracellular cAMP via stimulation of adenylyl cyclase which then leads to relaxing airway smooth muscle, inhibits the release of bronchoconstricting mediators from mast cells, and increases mucociliary transport.</w:t>
            </w:r>
          </w:p>
        </w:tc>
      </w:tr>
      <w:tr w:rsidR="003429FB" w:rsidRPr="003429FB" w14:paraId="54F5B37E" w14:textId="77777777" w:rsidTr="00E76986">
        <w:trPr>
          <w:trHeight w:val="2338"/>
        </w:trPr>
        <w:tc>
          <w:tcPr>
            <w:tcW w:w="2337" w:type="dxa"/>
          </w:tcPr>
          <w:p w14:paraId="17DA681D" w14:textId="77777777" w:rsidR="003429FB" w:rsidRPr="003429FB" w:rsidRDefault="003429FB" w:rsidP="00E76986">
            <w:pPr>
              <w:rPr>
                <w:lang w:val="en-US"/>
              </w:rPr>
            </w:pPr>
            <w:r w:rsidRPr="003429FB">
              <w:rPr>
                <w:b/>
                <w:bCs/>
                <w:lang w:val="en-US"/>
              </w:rPr>
              <w:t>Administration</w:t>
            </w:r>
            <w:r w:rsidRPr="003429FB">
              <w:rPr>
                <w:lang w:val="en-US"/>
              </w:rPr>
              <w:t xml:space="preserve">: </w:t>
            </w:r>
          </w:p>
          <w:p w14:paraId="30D8E2D9" w14:textId="77777777" w:rsidR="003429FB" w:rsidRPr="003429FB" w:rsidRDefault="003429FB" w:rsidP="00E76986">
            <w:pPr>
              <w:rPr>
                <w:lang w:val="en-US"/>
              </w:rPr>
            </w:pPr>
            <w:r w:rsidRPr="003429FB">
              <w:rPr>
                <w:lang w:val="en-US"/>
              </w:rPr>
              <w:t>oral inhalation</w:t>
            </w:r>
          </w:p>
          <w:p w14:paraId="0B836F29" w14:textId="77777777" w:rsidR="003429FB" w:rsidRPr="003429FB" w:rsidRDefault="003429FB" w:rsidP="00E76986">
            <w:pPr>
              <w:rPr>
                <w:lang w:val="en-US"/>
              </w:rPr>
            </w:pPr>
            <w:r w:rsidRPr="003429FB">
              <w:rPr>
                <w:lang w:val="en-US"/>
              </w:rPr>
              <w:t>can be given IV, SC, IM and PO</w:t>
            </w:r>
          </w:p>
          <w:p w14:paraId="4C4C2095" w14:textId="77777777" w:rsidR="003429FB" w:rsidRPr="003429FB" w:rsidRDefault="003429FB" w:rsidP="00E76986">
            <w:pPr>
              <w:rPr>
                <w:lang w:val="en-US"/>
              </w:rPr>
            </w:pPr>
          </w:p>
          <w:p w14:paraId="1F8ABFCF" w14:textId="77777777" w:rsidR="003429FB" w:rsidRPr="003429FB" w:rsidRDefault="003429FB" w:rsidP="00E76986">
            <w:pPr>
              <w:rPr>
                <w:lang w:val="en-US"/>
              </w:rPr>
            </w:pPr>
            <w:r w:rsidRPr="003429FB">
              <w:rPr>
                <w:lang w:val="en-US"/>
              </w:rPr>
              <w:t>wait at least 1-2 minutes between inhalations</w:t>
            </w:r>
          </w:p>
          <w:p w14:paraId="28ED2D36" w14:textId="77777777" w:rsidR="003429FB" w:rsidRPr="003429FB" w:rsidRDefault="003429FB" w:rsidP="00E76986">
            <w:pPr>
              <w:rPr>
                <w:lang w:val="en-US"/>
              </w:rPr>
            </w:pPr>
          </w:p>
          <w:p w14:paraId="2DEC2F42" w14:textId="77777777" w:rsidR="003429FB" w:rsidRPr="003429FB" w:rsidRDefault="003429FB" w:rsidP="00E76986">
            <w:pPr>
              <w:rPr>
                <w:lang w:val="en-US"/>
              </w:rPr>
            </w:pPr>
            <w:r w:rsidRPr="003429FB">
              <w:rPr>
                <w:lang w:val="en-US"/>
              </w:rPr>
              <w:t>oral: give with meals. Peak effect 2-3 hours.</w:t>
            </w:r>
          </w:p>
          <w:p w14:paraId="58DDCB1F" w14:textId="77777777" w:rsidR="003429FB" w:rsidRPr="003429FB" w:rsidRDefault="003429FB" w:rsidP="00E76986">
            <w:pPr>
              <w:rPr>
                <w:lang w:val="en-US"/>
              </w:rPr>
            </w:pPr>
          </w:p>
          <w:p w14:paraId="4FC63D6D" w14:textId="77777777" w:rsidR="003429FB" w:rsidRPr="003429FB" w:rsidRDefault="003429FB" w:rsidP="00E76986">
            <w:pPr>
              <w:rPr>
                <w:lang w:val="en-US"/>
              </w:rPr>
            </w:pPr>
          </w:p>
          <w:p w14:paraId="032F5E49" w14:textId="77777777" w:rsidR="003429FB" w:rsidRPr="003429FB" w:rsidRDefault="003429FB" w:rsidP="00E76986">
            <w:pPr>
              <w:rPr>
                <w:lang w:val="en-US"/>
              </w:rPr>
            </w:pPr>
          </w:p>
          <w:p w14:paraId="4B40C846" w14:textId="77777777" w:rsidR="003429FB" w:rsidRPr="003429FB" w:rsidRDefault="003429FB" w:rsidP="00E76986">
            <w:pPr>
              <w:rPr>
                <w:lang w:val="en-US"/>
              </w:rPr>
            </w:pPr>
          </w:p>
        </w:tc>
        <w:tc>
          <w:tcPr>
            <w:tcW w:w="2337" w:type="dxa"/>
          </w:tcPr>
          <w:p w14:paraId="0F4FF04A" w14:textId="77777777" w:rsidR="003429FB" w:rsidRPr="003429FB" w:rsidRDefault="003429FB" w:rsidP="00E76986">
            <w:pPr>
              <w:rPr>
                <w:lang w:val="en-US"/>
              </w:rPr>
            </w:pPr>
            <w:r w:rsidRPr="003429FB">
              <w:rPr>
                <w:b/>
                <w:bCs/>
                <w:lang w:val="en-US"/>
              </w:rPr>
              <w:t>Side Effects</w:t>
            </w:r>
            <w:r w:rsidRPr="003429FB">
              <w:rPr>
                <w:lang w:val="en-US"/>
              </w:rPr>
              <w:t>:</w:t>
            </w:r>
          </w:p>
          <w:p w14:paraId="08C1FC9C" w14:textId="77777777" w:rsidR="003429FB" w:rsidRPr="003429FB" w:rsidRDefault="003429FB" w:rsidP="00E76986">
            <w:pPr>
              <w:rPr>
                <w:lang w:val="en-US"/>
              </w:rPr>
            </w:pPr>
            <w:r w:rsidRPr="003429FB">
              <w:rPr>
                <w:lang w:val="en-US"/>
              </w:rPr>
              <w:t>Hypersensitivity</w:t>
            </w:r>
          </w:p>
          <w:p w14:paraId="1504A938" w14:textId="77777777" w:rsidR="003429FB" w:rsidRPr="003429FB" w:rsidRDefault="003429FB" w:rsidP="00E76986">
            <w:pPr>
              <w:rPr>
                <w:lang w:val="en-US"/>
              </w:rPr>
            </w:pPr>
            <w:r w:rsidRPr="003429FB">
              <w:rPr>
                <w:lang w:val="en-US"/>
              </w:rPr>
              <w:t>Can cause paradoxical bronchospasm if overused</w:t>
            </w:r>
          </w:p>
          <w:p w14:paraId="6EDC73D3" w14:textId="77777777" w:rsidR="003429FB" w:rsidRPr="003429FB" w:rsidRDefault="003429FB" w:rsidP="00E76986">
            <w:pPr>
              <w:rPr>
                <w:lang w:val="en-US"/>
              </w:rPr>
            </w:pPr>
            <w:r w:rsidRPr="003429FB">
              <w:rPr>
                <w:lang w:val="en-US"/>
              </w:rPr>
              <w:t>Transient tachycardia, palpitations and tremors if higher dose</w:t>
            </w:r>
          </w:p>
          <w:p w14:paraId="1A54657C" w14:textId="77777777" w:rsidR="003429FB" w:rsidRPr="003429FB" w:rsidRDefault="003429FB" w:rsidP="00E76986">
            <w:pPr>
              <w:rPr>
                <w:lang w:val="en-US"/>
              </w:rPr>
            </w:pPr>
          </w:p>
          <w:p w14:paraId="32C5F4E1" w14:textId="77777777" w:rsidR="003429FB" w:rsidRPr="003429FB" w:rsidRDefault="003429FB" w:rsidP="00E76986">
            <w:pPr>
              <w:rPr>
                <w:lang w:val="en-US"/>
              </w:rPr>
            </w:pPr>
            <w:r w:rsidRPr="003429FB">
              <w:rPr>
                <w:lang w:val="en-US"/>
              </w:rPr>
              <w:t>Risk of hyperglycemia, monitor BG more often if diabetic.</w:t>
            </w:r>
          </w:p>
          <w:p w14:paraId="6F50235E" w14:textId="77777777" w:rsidR="003429FB" w:rsidRPr="003429FB" w:rsidRDefault="003429FB" w:rsidP="00E76986">
            <w:pPr>
              <w:rPr>
                <w:lang w:val="en-US"/>
              </w:rPr>
            </w:pPr>
            <w:r w:rsidRPr="003429FB">
              <w:rPr>
                <w:lang w:val="en-US"/>
              </w:rPr>
              <w:t>Hypokalemia</w:t>
            </w:r>
          </w:p>
        </w:tc>
        <w:tc>
          <w:tcPr>
            <w:tcW w:w="2338" w:type="dxa"/>
          </w:tcPr>
          <w:p w14:paraId="7069BFDC" w14:textId="77777777" w:rsidR="003429FB" w:rsidRPr="003429FB" w:rsidRDefault="003429FB" w:rsidP="00E76986">
            <w:pPr>
              <w:rPr>
                <w:lang w:val="en-US"/>
              </w:rPr>
            </w:pPr>
            <w:r w:rsidRPr="003429FB">
              <w:rPr>
                <w:b/>
                <w:bCs/>
                <w:lang w:val="en-US"/>
              </w:rPr>
              <w:t>Contraindications</w:t>
            </w:r>
            <w:r w:rsidRPr="003429FB">
              <w:rPr>
                <w:lang w:val="en-US"/>
              </w:rPr>
              <w:t xml:space="preserve">: </w:t>
            </w:r>
          </w:p>
          <w:p w14:paraId="23F25EB9" w14:textId="77777777" w:rsidR="003429FB" w:rsidRPr="003429FB" w:rsidRDefault="003429FB" w:rsidP="00E76986">
            <w:pPr>
              <w:rPr>
                <w:lang w:val="en-US"/>
              </w:rPr>
            </w:pPr>
            <w:r w:rsidRPr="003429FB">
              <w:rPr>
                <w:lang w:val="en-US"/>
              </w:rPr>
              <w:t>Hypersensitivity reactions</w:t>
            </w:r>
          </w:p>
          <w:p w14:paraId="2428A62B" w14:textId="77777777" w:rsidR="003429FB" w:rsidRPr="003429FB" w:rsidRDefault="003429FB" w:rsidP="00E76986">
            <w:pPr>
              <w:rPr>
                <w:lang w:val="en-US"/>
              </w:rPr>
            </w:pPr>
          </w:p>
          <w:p w14:paraId="467B739F" w14:textId="77777777" w:rsidR="003429FB" w:rsidRPr="003429FB" w:rsidRDefault="003429FB" w:rsidP="00E76986">
            <w:pPr>
              <w:rPr>
                <w:lang w:val="en-US"/>
              </w:rPr>
            </w:pPr>
            <w:r w:rsidRPr="003429FB">
              <w:rPr>
                <w:lang w:val="en-US"/>
              </w:rPr>
              <w:t>If hypokalemia, use with caution and correct electrolytes.</w:t>
            </w:r>
          </w:p>
        </w:tc>
        <w:tc>
          <w:tcPr>
            <w:tcW w:w="2338" w:type="dxa"/>
          </w:tcPr>
          <w:p w14:paraId="090F76DA" w14:textId="77777777" w:rsidR="003429FB" w:rsidRPr="003429FB" w:rsidRDefault="003429FB" w:rsidP="00E76986">
            <w:pPr>
              <w:rPr>
                <w:lang w:val="en-US"/>
              </w:rPr>
            </w:pPr>
            <w:r w:rsidRPr="003429FB">
              <w:rPr>
                <w:b/>
                <w:bCs/>
                <w:lang w:val="en-US"/>
              </w:rPr>
              <w:t>Nursing Considerations</w:t>
            </w:r>
            <w:r w:rsidRPr="003429FB">
              <w:rPr>
                <w:lang w:val="en-US"/>
              </w:rPr>
              <w:t>:</w:t>
            </w:r>
          </w:p>
          <w:p w14:paraId="314F45BD" w14:textId="77777777" w:rsidR="003429FB" w:rsidRPr="003429FB" w:rsidRDefault="003429FB" w:rsidP="00E76986">
            <w:pPr>
              <w:rPr>
                <w:lang w:val="en-US"/>
              </w:rPr>
            </w:pPr>
            <w:r w:rsidRPr="003429FB">
              <w:rPr>
                <w:lang w:val="en-US"/>
              </w:rPr>
              <w:t>Report significantly increased heart rate and blood pressure, which may require the drug to be discontinued.</w:t>
            </w:r>
          </w:p>
          <w:p w14:paraId="49333482" w14:textId="77777777" w:rsidR="003429FB" w:rsidRPr="003429FB" w:rsidRDefault="003429FB" w:rsidP="00E76986">
            <w:pPr>
              <w:rPr>
                <w:lang w:val="en-US"/>
              </w:rPr>
            </w:pPr>
            <w:r w:rsidRPr="003429FB">
              <w:rPr>
                <w:lang w:val="en-US"/>
              </w:rPr>
              <w:t>Use spacer to improve drug delivery</w:t>
            </w:r>
          </w:p>
          <w:p w14:paraId="4C7238B1" w14:textId="77777777" w:rsidR="003429FB" w:rsidRPr="003429FB" w:rsidRDefault="003429FB" w:rsidP="00E76986">
            <w:pPr>
              <w:rPr>
                <w:lang w:val="en-US"/>
              </w:rPr>
            </w:pPr>
            <w:r w:rsidRPr="003429FB">
              <w:rPr>
                <w:lang w:val="en-US"/>
              </w:rPr>
              <w:t>Rinse mouth after inhalation dose.</w:t>
            </w:r>
          </w:p>
        </w:tc>
      </w:tr>
    </w:tbl>
    <w:p w14:paraId="1D89A579" w14:textId="77777777" w:rsidR="003429FB" w:rsidRDefault="003429FB"/>
    <w:p w14:paraId="32060569" w14:textId="77777777" w:rsidR="003429FB" w:rsidRDefault="003429FB"/>
    <w:p w14:paraId="22B6AA68" w14:textId="77777777" w:rsidR="003429FB" w:rsidRDefault="003429FB"/>
    <w:sectPr w:rsidR="003429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B"/>
    <w:rsid w:val="00261E4D"/>
    <w:rsid w:val="003429FB"/>
    <w:rsid w:val="00464599"/>
    <w:rsid w:val="006D2C2C"/>
    <w:rsid w:val="00734E8C"/>
    <w:rsid w:val="0096662A"/>
    <w:rsid w:val="009F730C"/>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B44C"/>
  <w15:chartTrackingRefBased/>
  <w15:docId w15:val="{B1D82825-BFF9-FA43-BBEC-8EBCC239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9FB"/>
    <w:rPr>
      <w:rFonts w:eastAsiaTheme="majorEastAsia" w:cstheme="majorBidi"/>
      <w:color w:val="272727" w:themeColor="text1" w:themeTint="D8"/>
    </w:rPr>
  </w:style>
  <w:style w:type="paragraph" w:styleId="Title">
    <w:name w:val="Title"/>
    <w:basedOn w:val="Normal"/>
    <w:next w:val="Normal"/>
    <w:link w:val="TitleChar"/>
    <w:uiPriority w:val="10"/>
    <w:qFormat/>
    <w:rsid w:val="00342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9FB"/>
    <w:pPr>
      <w:spacing w:before="160"/>
      <w:jc w:val="center"/>
    </w:pPr>
    <w:rPr>
      <w:i/>
      <w:iCs/>
      <w:color w:val="404040" w:themeColor="text1" w:themeTint="BF"/>
    </w:rPr>
  </w:style>
  <w:style w:type="character" w:customStyle="1" w:styleId="QuoteChar">
    <w:name w:val="Quote Char"/>
    <w:basedOn w:val="DefaultParagraphFont"/>
    <w:link w:val="Quote"/>
    <w:uiPriority w:val="29"/>
    <w:rsid w:val="003429FB"/>
    <w:rPr>
      <w:i/>
      <w:iCs/>
      <w:color w:val="404040" w:themeColor="text1" w:themeTint="BF"/>
    </w:rPr>
  </w:style>
  <w:style w:type="paragraph" w:styleId="ListParagraph">
    <w:name w:val="List Paragraph"/>
    <w:basedOn w:val="Normal"/>
    <w:uiPriority w:val="34"/>
    <w:qFormat/>
    <w:rsid w:val="003429FB"/>
    <w:pPr>
      <w:ind w:left="720"/>
      <w:contextualSpacing/>
    </w:pPr>
  </w:style>
  <w:style w:type="character" w:styleId="IntenseEmphasis">
    <w:name w:val="Intense Emphasis"/>
    <w:basedOn w:val="DefaultParagraphFont"/>
    <w:uiPriority w:val="21"/>
    <w:qFormat/>
    <w:rsid w:val="003429FB"/>
    <w:rPr>
      <w:i/>
      <w:iCs/>
      <w:color w:val="0F4761" w:themeColor="accent1" w:themeShade="BF"/>
    </w:rPr>
  </w:style>
  <w:style w:type="paragraph" w:styleId="IntenseQuote">
    <w:name w:val="Intense Quote"/>
    <w:basedOn w:val="Normal"/>
    <w:next w:val="Normal"/>
    <w:link w:val="IntenseQuoteChar"/>
    <w:uiPriority w:val="30"/>
    <w:qFormat/>
    <w:rsid w:val="00342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9FB"/>
    <w:rPr>
      <w:i/>
      <w:iCs/>
      <w:color w:val="0F4761" w:themeColor="accent1" w:themeShade="BF"/>
    </w:rPr>
  </w:style>
  <w:style w:type="character" w:styleId="IntenseReference">
    <w:name w:val="Intense Reference"/>
    <w:basedOn w:val="DefaultParagraphFont"/>
    <w:uiPriority w:val="32"/>
    <w:qFormat/>
    <w:rsid w:val="003429FB"/>
    <w:rPr>
      <w:b/>
      <w:bCs/>
      <w:smallCaps/>
      <w:color w:val="0F4761" w:themeColor="accent1" w:themeShade="BF"/>
      <w:spacing w:val="5"/>
    </w:rPr>
  </w:style>
  <w:style w:type="table" w:styleId="TableGrid">
    <w:name w:val="Table Grid"/>
    <w:basedOn w:val="TableNormal"/>
    <w:uiPriority w:val="39"/>
    <w:rsid w:val="003429F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1070</Characters>
  <Application>Microsoft Office Word</Application>
  <DocSecurity>0</DocSecurity>
  <Lines>62</Lines>
  <Paragraphs>30</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1</cp:revision>
  <dcterms:created xsi:type="dcterms:W3CDTF">2026-01-14T22:51:00Z</dcterms:created>
  <dcterms:modified xsi:type="dcterms:W3CDTF">2026-01-14T22:52:00Z</dcterms:modified>
</cp:coreProperties>
</file>