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C87EE" w14:textId="19DFDD92" w:rsidR="00734E8C" w:rsidRPr="00D64857" w:rsidRDefault="00D64857" w:rsidP="00D64857">
      <w:pPr>
        <w:spacing w:after="0"/>
        <w:rPr>
          <w:b/>
          <w:bCs/>
          <w:lang w:val="en-US"/>
        </w:rPr>
      </w:pPr>
      <w:r w:rsidRPr="00D64857">
        <w:rPr>
          <w:b/>
          <w:bCs/>
          <w:lang w:val="en-US"/>
        </w:rPr>
        <w:t>Nitroglycerine Medication Card</w:t>
      </w:r>
    </w:p>
    <w:tbl>
      <w:tblPr>
        <w:tblStyle w:val="TableGrid"/>
        <w:tblW w:w="0" w:type="auto"/>
        <w:tblLook w:val="04A0" w:firstRow="1" w:lastRow="0" w:firstColumn="1" w:lastColumn="0" w:noHBand="0" w:noVBand="1"/>
      </w:tblPr>
      <w:tblGrid>
        <w:gridCol w:w="2337"/>
        <w:gridCol w:w="2337"/>
        <w:gridCol w:w="2338"/>
        <w:gridCol w:w="2338"/>
      </w:tblGrid>
      <w:tr w:rsidR="00D64857" w14:paraId="3237773A" w14:textId="77777777" w:rsidTr="00F24F94">
        <w:trPr>
          <w:trHeight w:val="1103"/>
        </w:trPr>
        <w:tc>
          <w:tcPr>
            <w:tcW w:w="4674" w:type="dxa"/>
            <w:gridSpan w:val="2"/>
          </w:tcPr>
          <w:p w14:paraId="2AB702E3" w14:textId="77777777" w:rsidR="00D64857" w:rsidRDefault="00D64857" w:rsidP="00F24F94">
            <w:pPr>
              <w:rPr>
                <w:lang w:val="en-US"/>
              </w:rPr>
            </w:pPr>
            <w:r w:rsidRPr="00D64857">
              <w:rPr>
                <w:b/>
                <w:bCs/>
                <w:lang w:val="en-US"/>
              </w:rPr>
              <w:t>Class:</w:t>
            </w:r>
            <w:r>
              <w:rPr>
                <w:lang w:val="en-US"/>
              </w:rPr>
              <w:t xml:space="preserve"> Antianginals</w:t>
            </w:r>
          </w:p>
          <w:p w14:paraId="49F676F6" w14:textId="77777777" w:rsidR="00D64857" w:rsidRDefault="00D64857" w:rsidP="00F24F94">
            <w:pPr>
              <w:rPr>
                <w:lang w:val="en-US"/>
              </w:rPr>
            </w:pPr>
          </w:p>
          <w:p w14:paraId="0F3E9390" w14:textId="77777777" w:rsidR="00D64857" w:rsidRDefault="00D64857" w:rsidP="00F24F94">
            <w:pPr>
              <w:rPr>
                <w:lang w:val="en-US"/>
              </w:rPr>
            </w:pPr>
            <w:r w:rsidRPr="00D64857">
              <w:rPr>
                <w:b/>
                <w:bCs/>
                <w:lang w:val="en-US"/>
              </w:rPr>
              <w:t>Prototype:</w:t>
            </w:r>
            <w:r>
              <w:rPr>
                <w:lang w:val="en-US"/>
              </w:rPr>
              <w:t xml:space="preserve"> Nitroglycerin</w:t>
            </w:r>
          </w:p>
          <w:p w14:paraId="6EAFA6C5" w14:textId="77777777" w:rsidR="00D64857" w:rsidRDefault="00D64857" w:rsidP="00F24F94">
            <w:pPr>
              <w:rPr>
                <w:lang w:val="en-US"/>
              </w:rPr>
            </w:pPr>
          </w:p>
          <w:p w14:paraId="639DBAE4" w14:textId="77777777" w:rsidR="00D64857" w:rsidRDefault="00D64857" w:rsidP="00F24F94">
            <w:pPr>
              <w:rPr>
                <w:lang w:val="en-US"/>
              </w:rPr>
            </w:pPr>
          </w:p>
        </w:tc>
        <w:tc>
          <w:tcPr>
            <w:tcW w:w="4676" w:type="dxa"/>
            <w:gridSpan w:val="2"/>
          </w:tcPr>
          <w:p w14:paraId="3517A940" w14:textId="77777777" w:rsidR="00D64857" w:rsidRDefault="00D64857" w:rsidP="00F24F94">
            <w:pPr>
              <w:rPr>
                <w:lang w:val="en-US"/>
              </w:rPr>
            </w:pPr>
            <w:r w:rsidRPr="00D64857">
              <w:rPr>
                <w:b/>
                <w:bCs/>
                <w:lang w:val="en-US"/>
              </w:rPr>
              <w:t>Indications:</w:t>
            </w:r>
            <w:r>
              <w:rPr>
                <w:lang w:val="en-US"/>
              </w:rPr>
              <w:t xml:space="preserve"> acute anginal pain, prophylactic treatment to prevent angina. Arterial hypertension, heart failure, anal fissures (topical).</w:t>
            </w:r>
          </w:p>
          <w:p w14:paraId="67C4CFB8" w14:textId="77777777" w:rsidR="00D64857" w:rsidRDefault="00D64857" w:rsidP="00F24F94">
            <w:pPr>
              <w:rPr>
                <w:lang w:val="en-US"/>
              </w:rPr>
            </w:pPr>
            <w:r>
              <w:rPr>
                <w:lang w:val="en-US"/>
              </w:rPr>
              <w:t>Vasodilation to decrease oxygen demand and decrease cardiac workload</w:t>
            </w:r>
          </w:p>
          <w:p w14:paraId="0461AD06" w14:textId="77777777" w:rsidR="00D64857" w:rsidRDefault="00D64857" w:rsidP="00F24F94">
            <w:pPr>
              <w:rPr>
                <w:lang w:val="en-US"/>
              </w:rPr>
            </w:pPr>
          </w:p>
        </w:tc>
      </w:tr>
      <w:tr w:rsidR="00D64857" w14:paraId="4D22D61C" w14:textId="77777777" w:rsidTr="00F24F94">
        <w:tc>
          <w:tcPr>
            <w:tcW w:w="9350" w:type="dxa"/>
            <w:gridSpan w:val="4"/>
          </w:tcPr>
          <w:p w14:paraId="14D4C8C3" w14:textId="77777777" w:rsidR="00D64857" w:rsidRDefault="00D64857" w:rsidP="00F24F94">
            <w:pPr>
              <w:rPr>
                <w:rFonts w:eastAsia="Times New Roman" w:cstheme="minorHAnsi"/>
                <w:color w:val="000000"/>
                <w:kern w:val="0"/>
                <w:lang w:eastAsia="en-CA"/>
                <w14:ligatures w14:val="none"/>
              </w:rPr>
            </w:pPr>
            <w:r w:rsidRPr="00D64857">
              <w:rPr>
                <w:b/>
                <w:bCs/>
                <w:lang w:val="en-US"/>
              </w:rPr>
              <w:t>Mechanism of Action:</w:t>
            </w:r>
            <w:r w:rsidRPr="00173D56">
              <w:rPr>
                <w:rFonts w:eastAsia="Times New Roman" w:cstheme="minorHAnsi"/>
                <w:color w:val="000000"/>
                <w:kern w:val="0"/>
                <w:sz w:val="24"/>
                <w:szCs w:val="24"/>
                <w:lang w:eastAsia="en-CA"/>
                <w14:ligatures w14:val="none"/>
              </w:rPr>
              <w:t xml:space="preserve"> </w:t>
            </w:r>
            <w:r w:rsidRPr="00770064">
              <w:rPr>
                <w:rFonts w:eastAsia="Times New Roman" w:cstheme="minorHAnsi"/>
                <w:color w:val="000000"/>
                <w:kern w:val="0"/>
                <w:lang w:eastAsia="en-CA"/>
                <w14:ligatures w14:val="none"/>
              </w:rPr>
              <w:t xml:space="preserve">Nitrates increase the release of nitric oxide, which then activates a series of chemical events resulting in the relaxation of the vascular smooth muscle, leading to vasodilation and angina relief. It acts primarily on veins with dilation of arterioles minimal. With venous dilation, the amount of blood returning to the heart (preload) is reduced. With a lower volume of blood in the chambers, cardiac output is decreased and the workload of the heart is reduced. This leads to a lower myocardial oxygen demand. </w:t>
            </w:r>
          </w:p>
          <w:p w14:paraId="14E5C0D1" w14:textId="77777777" w:rsidR="00D64857" w:rsidRDefault="00D64857" w:rsidP="00F24F94">
            <w:pPr>
              <w:rPr>
                <w:lang w:val="en-US"/>
              </w:rPr>
            </w:pPr>
          </w:p>
        </w:tc>
      </w:tr>
      <w:tr w:rsidR="00D64857" w14:paraId="6985DB6D" w14:textId="77777777" w:rsidTr="00F24F94">
        <w:trPr>
          <w:trHeight w:val="800"/>
        </w:trPr>
        <w:tc>
          <w:tcPr>
            <w:tcW w:w="2337" w:type="dxa"/>
          </w:tcPr>
          <w:p w14:paraId="4C7CD540" w14:textId="77777777" w:rsidR="00D64857" w:rsidRPr="00D64857" w:rsidRDefault="00D64857" w:rsidP="00F24F94">
            <w:pPr>
              <w:rPr>
                <w:b/>
                <w:bCs/>
                <w:lang w:val="en-US"/>
              </w:rPr>
            </w:pPr>
            <w:r w:rsidRPr="00D64857">
              <w:rPr>
                <w:b/>
                <w:bCs/>
                <w:lang w:val="en-US"/>
              </w:rPr>
              <w:t xml:space="preserve">Administration: </w:t>
            </w:r>
          </w:p>
          <w:p w14:paraId="6C0DD35C" w14:textId="77777777" w:rsidR="00D64857" w:rsidRDefault="00D64857" w:rsidP="00F24F94">
            <w:pPr>
              <w:rPr>
                <w:lang w:val="en-US"/>
              </w:rPr>
            </w:pPr>
            <w:r>
              <w:rPr>
                <w:lang w:val="en-US"/>
              </w:rPr>
              <w:t>Oral, IV, sublingual, transdermal</w:t>
            </w:r>
          </w:p>
          <w:p w14:paraId="69726BD4" w14:textId="77777777" w:rsidR="00D64857" w:rsidRDefault="00D64857" w:rsidP="00F24F94">
            <w:pPr>
              <w:rPr>
                <w:lang w:val="en-US"/>
              </w:rPr>
            </w:pPr>
          </w:p>
          <w:p w14:paraId="659F8426" w14:textId="77777777" w:rsidR="00D64857" w:rsidRDefault="00D64857" w:rsidP="00F24F94">
            <w:pPr>
              <w:rPr>
                <w:lang w:val="en-US"/>
              </w:rPr>
            </w:pPr>
            <w:r>
              <w:rPr>
                <w:lang w:val="en-US"/>
              </w:rPr>
              <w:t>Oral, transdermal: long term preventative therapy</w:t>
            </w:r>
          </w:p>
          <w:p w14:paraId="339D815E" w14:textId="77777777" w:rsidR="00D64857" w:rsidRDefault="00D64857" w:rsidP="00F24F94">
            <w:pPr>
              <w:rPr>
                <w:lang w:val="en-US"/>
              </w:rPr>
            </w:pPr>
            <w:r>
              <w:rPr>
                <w:lang w:val="en-US"/>
              </w:rPr>
              <w:t>SL, buccal: acute angina attack</w:t>
            </w:r>
          </w:p>
          <w:p w14:paraId="5FFA57BB" w14:textId="77777777" w:rsidR="00D64857" w:rsidRDefault="00D64857" w:rsidP="00F24F94">
            <w:pPr>
              <w:rPr>
                <w:lang w:val="en-US"/>
              </w:rPr>
            </w:pPr>
          </w:p>
          <w:p w14:paraId="3C78CBA4" w14:textId="16199685" w:rsidR="00D64857" w:rsidRDefault="00D64857" w:rsidP="00F24F94">
            <w:pPr>
              <w:rPr>
                <w:lang w:val="en-US"/>
              </w:rPr>
            </w:pPr>
            <w:r>
              <w:rPr>
                <w:lang w:val="en-US"/>
              </w:rPr>
              <w:t>Keep nitro tablets in original container and away from light</w:t>
            </w:r>
          </w:p>
          <w:p w14:paraId="22793D7F" w14:textId="77777777" w:rsidR="00D64857" w:rsidRDefault="00D64857" w:rsidP="00F24F94">
            <w:pPr>
              <w:rPr>
                <w:lang w:val="en-US"/>
              </w:rPr>
            </w:pPr>
          </w:p>
          <w:p w14:paraId="012919EA" w14:textId="22048544" w:rsidR="00D64857" w:rsidRDefault="00D64857" w:rsidP="00F24F94">
            <w:pPr>
              <w:rPr>
                <w:lang w:val="en-US"/>
              </w:rPr>
            </w:pPr>
            <w:r>
              <w:rPr>
                <w:lang w:val="en-US"/>
              </w:rPr>
              <w:t>Ensure SL tablet under tongue dissolves</w:t>
            </w:r>
          </w:p>
          <w:p w14:paraId="20D3D67D" w14:textId="77777777" w:rsidR="00D64857" w:rsidRDefault="00D64857" w:rsidP="00F24F94">
            <w:pPr>
              <w:rPr>
                <w:lang w:val="en-US"/>
              </w:rPr>
            </w:pPr>
          </w:p>
          <w:p w14:paraId="79D840E4" w14:textId="77777777" w:rsidR="00D64857" w:rsidRDefault="00D64857" w:rsidP="00F24F94">
            <w:pPr>
              <w:rPr>
                <w:lang w:val="en-US"/>
              </w:rPr>
            </w:pPr>
            <w:r>
              <w:rPr>
                <w:lang w:val="en-US"/>
              </w:rPr>
              <w:t>Transdermal: rotate sites, have med-free period each day 12-14 hours to avoid tolerance</w:t>
            </w:r>
          </w:p>
        </w:tc>
        <w:tc>
          <w:tcPr>
            <w:tcW w:w="2337" w:type="dxa"/>
          </w:tcPr>
          <w:p w14:paraId="783E5B1B" w14:textId="77777777" w:rsidR="00D64857" w:rsidRPr="00D64857" w:rsidRDefault="00D64857" w:rsidP="00F24F94">
            <w:pPr>
              <w:rPr>
                <w:b/>
                <w:bCs/>
                <w:lang w:val="en-US"/>
              </w:rPr>
            </w:pPr>
            <w:r w:rsidRPr="00D64857">
              <w:rPr>
                <w:b/>
                <w:bCs/>
                <w:lang w:val="en-US"/>
              </w:rPr>
              <w:t>Side Effects:</w:t>
            </w:r>
          </w:p>
          <w:p w14:paraId="0B3A0F07" w14:textId="77777777" w:rsidR="00D64857" w:rsidRDefault="00D64857" w:rsidP="00F24F94">
            <w:pPr>
              <w:rPr>
                <w:lang w:val="en-US"/>
              </w:rPr>
            </w:pPr>
            <w:r>
              <w:rPr>
                <w:lang w:val="en-US"/>
              </w:rPr>
              <w:t>Hypotension, headache, nausea</w:t>
            </w:r>
          </w:p>
          <w:p w14:paraId="4D5F2887" w14:textId="77777777" w:rsidR="00D64857" w:rsidRDefault="00D64857" w:rsidP="00F24F94">
            <w:pPr>
              <w:rPr>
                <w:lang w:val="en-US"/>
              </w:rPr>
            </w:pPr>
          </w:p>
          <w:p w14:paraId="56A2AA98" w14:textId="77777777" w:rsidR="00D64857" w:rsidRDefault="00D64857" w:rsidP="00F24F94">
            <w:pPr>
              <w:rPr>
                <w:lang w:val="en-US"/>
              </w:rPr>
            </w:pPr>
            <w:r>
              <w:rPr>
                <w:lang w:val="en-US"/>
              </w:rPr>
              <w:t>Other: tachycardia, flushing, peripheral edema, blurred vision</w:t>
            </w:r>
          </w:p>
          <w:p w14:paraId="3977641C" w14:textId="77777777" w:rsidR="00D64857" w:rsidRDefault="00D64857" w:rsidP="00F24F94">
            <w:pPr>
              <w:rPr>
                <w:lang w:val="en-US"/>
              </w:rPr>
            </w:pPr>
          </w:p>
          <w:p w14:paraId="34484650" w14:textId="77777777" w:rsidR="00D64857" w:rsidRDefault="00D64857" w:rsidP="00F24F94">
            <w:pPr>
              <w:rPr>
                <w:lang w:val="en-US"/>
              </w:rPr>
            </w:pPr>
            <w:r>
              <w:rPr>
                <w:lang w:val="en-US"/>
              </w:rPr>
              <w:t>AE: paradoxical tachy</w:t>
            </w:r>
          </w:p>
        </w:tc>
        <w:tc>
          <w:tcPr>
            <w:tcW w:w="2338" w:type="dxa"/>
          </w:tcPr>
          <w:p w14:paraId="53BE311F" w14:textId="77777777" w:rsidR="00D64857" w:rsidRPr="00D64857" w:rsidRDefault="00D64857" w:rsidP="00F24F94">
            <w:pPr>
              <w:rPr>
                <w:b/>
                <w:bCs/>
                <w:lang w:val="en-US"/>
              </w:rPr>
            </w:pPr>
            <w:r w:rsidRPr="00D64857">
              <w:rPr>
                <w:b/>
                <w:bCs/>
                <w:lang w:val="en-US"/>
              </w:rPr>
              <w:t xml:space="preserve">Contraindications: </w:t>
            </w:r>
          </w:p>
          <w:p w14:paraId="426F45BB" w14:textId="77777777" w:rsidR="00D64857" w:rsidRDefault="00D64857" w:rsidP="00F24F94">
            <w:pPr>
              <w:rPr>
                <w:lang w:val="en-US"/>
              </w:rPr>
            </w:pPr>
            <w:r>
              <w:rPr>
                <w:lang w:val="en-US"/>
              </w:rPr>
              <w:t>Contraindications with hypersensitivity, increased intracranial pressure, cardiomyopathy, shock</w:t>
            </w:r>
          </w:p>
          <w:p w14:paraId="41D2FE1C" w14:textId="77777777" w:rsidR="00D64857" w:rsidRDefault="00D64857" w:rsidP="00F24F94">
            <w:pPr>
              <w:rPr>
                <w:lang w:val="en-US"/>
              </w:rPr>
            </w:pPr>
          </w:p>
          <w:p w14:paraId="566B5695" w14:textId="77777777" w:rsidR="00D64857" w:rsidRDefault="00D64857" w:rsidP="00F24F94">
            <w:pPr>
              <w:rPr>
                <w:lang w:val="en-US"/>
              </w:rPr>
            </w:pPr>
            <w:r>
              <w:rPr>
                <w:lang w:val="en-US"/>
              </w:rPr>
              <w:t>Caution with renal and liver failure, MI</w:t>
            </w:r>
          </w:p>
          <w:p w14:paraId="6EE566DF" w14:textId="77777777" w:rsidR="00D64857" w:rsidRDefault="00D64857" w:rsidP="00F24F94">
            <w:pPr>
              <w:rPr>
                <w:lang w:val="en-US"/>
              </w:rPr>
            </w:pPr>
          </w:p>
          <w:p w14:paraId="71A8638F" w14:textId="2BC3EAF5" w:rsidR="00D64857" w:rsidRDefault="00D64857" w:rsidP="00F24F94">
            <w:pPr>
              <w:rPr>
                <w:lang w:val="en-US"/>
              </w:rPr>
            </w:pPr>
            <w:r>
              <w:rPr>
                <w:lang w:val="en-US"/>
              </w:rPr>
              <w:t>Drug interactions: sildenafil and other PDE inhibitors</w:t>
            </w:r>
          </w:p>
          <w:p w14:paraId="64004A07" w14:textId="77777777" w:rsidR="00D64857" w:rsidRDefault="00D64857" w:rsidP="00F24F94">
            <w:pPr>
              <w:rPr>
                <w:lang w:val="en-US"/>
              </w:rPr>
            </w:pPr>
          </w:p>
          <w:p w14:paraId="7A24C9BA" w14:textId="77777777" w:rsidR="00D64857" w:rsidRDefault="00D64857" w:rsidP="00F24F94">
            <w:pPr>
              <w:rPr>
                <w:lang w:val="en-US"/>
              </w:rPr>
            </w:pPr>
            <w:r>
              <w:rPr>
                <w:lang w:val="en-US"/>
              </w:rPr>
              <w:t>Not for pregnancy or breastfeeding</w:t>
            </w:r>
          </w:p>
        </w:tc>
        <w:tc>
          <w:tcPr>
            <w:tcW w:w="2338" w:type="dxa"/>
          </w:tcPr>
          <w:p w14:paraId="705BE6F1" w14:textId="77777777" w:rsidR="00D64857" w:rsidRPr="00D64857" w:rsidRDefault="00D64857" w:rsidP="00F24F94">
            <w:pPr>
              <w:rPr>
                <w:b/>
                <w:bCs/>
                <w:lang w:val="en-US"/>
              </w:rPr>
            </w:pPr>
            <w:r w:rsidRPr="00D64857">
              <w:rPr>
                <w:b/>
                <w:bCs/>
                <w:lang w:val="en-US"/>
              </w:rPr>
              <w:t>Nursing Considerations:</w:t>
            </w:r>
          </w:p>
          <w:p w14:paraId="10B7ADDB" w14:textId="023AFB36" w:rsidR="00D64857" w:rsidRDefault="00D64857" w:rsidP="00F24F94">
            <w:pPr>
              <w:rPr>
                <w:lang w:val="en-US"/>
              </w:rPr>
            </w:pPr>
            <w:r>
              <w:rPr>
                <w:lang w:val="en-US"/>
              </w:rPr>
              <w:t xml:space="preserve">Monitor BP, HR and chest pain prior to each nitrospray. Do not give more than 3 doses 5 minutes apart. Reassess between each dose </w:t>
            </w:r>
          </w:p>
          <w:p w14:paraId="471C2DDB" w14:textId="77777777" w:rsidR="00D64857" w:rsidRDefault="00D64857" w:rsidP="00F24F94">
            <w:pPr>
              <w:rPr>
                <w:lang w:val="en-US"/>
              </w:rPr>
            </w:pPr>
          </w:p>
          <w:p w14:paraId="7195593C" w14:textId="20390908" w:rsidR="00D64857" w:rsidRDefault="00D64857" w:rsidP="00F24F94">
            <w:pPr>
              <w:rPr>
                <w:lang w:val="en-US"/>
              </w:rPr>
            </w:pPr>
            <w:r>
              <w:rPr>
                <w:lang w:val="en-US"/>
              </w:rPr>
              <w:t>Complete med profile prior to initiating therapy</w:t>
            </w:r>
          </w:p>
          <w:p w14:paraId="762B9D35" w14:textId="77777777" w:rsidR="00D64857" w:rsidRDefault="00D64857" w:rsidP="00F24F94">
            <w:pPr>
              <w:rPr>
                <w:lang w:val="en-US"/>
              </w:rPr>
            </w:pPr>
          </w:p>
          <w:p w14:paraId="098D5939" w14:textId="1F17FC02" w:rsidR="00D64857" w:rsidRDefault="00D64857" w:rsidP="00F24F94">
            <w:pPr>
              <w:rPr>
                <w:lang w:val="en-US"/>
              </w:rPr>
            </w:pPr>
            <w:r w:rsidRPr="006E27B8">
              <w:rPr>
                <w:lang w:val="en-US"/>
              </w:rPr>
              <w:t>Can use prophylactically before exercise if needed</w:t>
            </w:r>
          </w:p>
          <w:p w14:paraId="0EA48DF1" w14:textId="77777777" w:rsidR="00D64857" w:rsidRDefault="00D64857" w:rsidP="00F24F94">
            <w:pPr>
              <w:rPr>
                <w:lang w:val="en-US"/>
              </w:rPr>
            </w:pPr>
          </w:p>
          <w:p w14:paraId="59E60CCC" w14:textId="77777777" w:rsidR="00D64857" w:rsidRDefault="00D64857" w:rsidP="00F24F94">
            <w:pPr>
              <w:rPr>
                <w:lang w:val="en-US"/>
              </w:rPr>
            </w:pPr>
            <w:r w:rsidRPr="006E27B8">
              <w:rPr>
                <w:lang w:val="en-US"/>
              </w:rPr>
              <w:t>Sit during administration in case of drop in BP</w:t>
            </w:r>
          </w:p>
        </w:tc>
      </w:tr>
    </w:tbl>
    <w:p w14:paraId="33C86AD3" w14:textId="77777777" w:rsidR="00D64857" w:rsidRDefault="00D64857"/>
    <w:p w14:paraId="0B3F2D37" w14:textId="77777777" w:rsidR="003C4045" w:rsidRDefault="003C4045"/>
    <w:p w14:paraId="17A6EF73" w14:textId="77777777" w:rsidR="003C4045" w:rsidRDefault="003C4045"/>
    <w:sectPr w:rsidR="003C404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857"/>
    <w:rsid w:val="003C4045"/>
    <w:rsid w:val="00464599"/>
    <w:rsid w:val="006D2C2C"/>
    <w:rsid w:val="00734E8C"/>
    <w:rsid w:val="008D01D5"/>
    <w:rsid w:val="0096662A"/>
    <w:rsid w:val="009F730C"/>
    <w:rsid w:val="00D64857"/>
    <w:rsid w:val="00F25F3E"/>
    <w:rsid w:val="00F82D3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325DB"/>
  <w15:chartTrackingRefBased/>
  <w15:docId w15:val="{8E757610-9AF0-1245-9E71-39EE1891C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857"/>
    <w:pPr>
      <w:spacing w:line="259" w:lineRule="auto"/>
    </w:pPr>
    <w:rPr>
      <w:sz w:val="22"/>
      <w:szCs w:val="22"/>
    </w:rPr>
  </w:style>
  <w:style w:type="paragraph" w:styleId="Heading1">
    <w:name w:val="heading 1"/>
    <w:basedOn w:val="Normal"/>
    <w:next w:val="Normal"/>
    <w:link w:val="Heading1Char"/>
    <w:uiPriority w:val="9"/>
    <w:qFormat/>
    <w:rsid w:val="00D64857"/>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4857"/>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4857"/>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4857"/>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D64857"/>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D64857"/>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D64857"/>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D64857"/>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D64857"/>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48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48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48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48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48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48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48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48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4857"/>
    <w:rPr>
      <w:rFonts w:eastAsiaTheme="majorEastAsia" w:cstheme="majorBidi"/>
      <w:color w:val="272727" w:themeColor="text1" w:themeTint="D8"/>
    </w:rPr>
  </w:style>
  <w:style w:type="paragraph" w:styleId="Title">
    <w:name w:val="Title"/>
    <w:basedOn w:val="Normal"/>
    <w:next w:val="Normal"/>
    <w:link w:val="TitleChar"/>
    <w:uiPriority w:val="10"/>
    <w:qFormat/>
    <w:rsid w:val="00D648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48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4857"/>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48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4857"/>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D64857"/>
    <w:rPr>
      <w:i/>
      <w:iCs/>
      <w:color w:val="404040" w:themeColor="text1" w:themeTint="BF"/>
    </w:rPr>
  </w:style>
  <w:style w:type="paragraph" w:styleId="ListParagraph">
    <w:name w:val="List Paragraph"/>
    <w:basedOn w:val="Normal"/>
    <w:uiPriority w:val="34"/>
    <w:qFormat/>
    <w:rsid w:val="00D64857"/>
    <w:pPr>
      <w:spacing w:line="278" w:lineRule="auto"/>
      <w:ind w:left="720"/>
      <w:contextualSpacing/>
    </w:pPr>
    <w:rPr>
      <w:sz w:val="24"/>
      <w:szCs w:val="24"/>
    </w:rPr>
  </w:style>
  <w:style w:type="character" w:styleId="IntenseEmphasis">
    <w:name w:val="Intense Emphasis"/>
    <w:basedOn w:val="DefaultParagraphFont"/>
    <w:uiPriority w:val="21"/>
    <w:qFormat/>
    <w:rsid w:val="00D64857"/>
    <w:rPr>
      <w:i/>
      <w:iCs/>
      <w:color w:val="0F4761" w:themeColor="accent1" w:themeShade="BF"/>
    </w:rPr>
  </w:style>
  <w:style w:type="paragraph" w:styleId="IntenseQuote">
    <w:name w:val="Intense Quote"/>
    <w:basedOn w:val="Normal"/>
    <w:next w:val="Normal"/>
    <w:link w:val="IntenseQuoteChar"/>
    <w:uiPriority w:val="30"/>
    <w:qFormat/>
    <w:rsid w:val="00D6485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D64857"/>
    <w:rPr>
      <w:i/>
      <w:iCs/>
      <w:color w:val="0F4761" w:themeColor="accent1" w:themeShade="BF"/>
    </w:rPr>
  </w:style>
  <w:style w:type="character" w:styleId="IntenseReference">
    <w:name w:val="Intense Reference"/>
    <w:basedOn w:val="DefaultParagraphFont"/>
    <w:uiPriority w:val="32"/>
    <w:qFormat/>
    <w:rsid w:val="00D64857"/>
    <w:rPr>
      <w:b/>
      <w:bCs/>
      <w:smallCaps/>
      <w:color w:val="0F4761" w:themeColor="accent1" w:themeShade="BF"/>
      <w:spacing w:val="5"/>
    </w:rPr>
  </w:style>
  <w:style w:type="table" w:styleId="TableGrid">
    <w:name w:val="Table Grid"/>
    <w:basedOn w:val="TableNormal"/>
    <w:uiPriority w:val="39"/>
    <w:rsid w:val="00D64857"/>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290</Words>
  <Characters>1552</Characters>
  <Application>Microsoft Office Word</Application>
  <DocSecurity>0</DocSecurity>
  <Lines>36</Lines>
  <Paragraphs>20</Paragraphs>
  <ScaleCrop>false</ScaleCrop>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Obando Almache</dc:creator>
  <cp:keywords/>
  <dc:description/>
  <cp:lastModifiedBy>Jessica Obando Almache</cp:lastModifiedBy>
  <cp:revision>2</cp:revision>
  <dcterms:created xsi:type="dcterms:W3CDTF">2026-02-26T23:15:00Z</dcterms:created>
  <dcterms:modified xsi:type="dcterms:W3CDTF">2026-02-26T23:17:00Z</dcterms:modified>
</cp:coreProperties>
</file>