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A625" w14:textId="7D7B3695" w:rsidR="00734E8C" w:rsidRPr="00B708EB" w:rsidRDefault="00B708EB" w:rsidP="00B708EB">
      <w:pPr>
        <w:spacing w:after="0"/>
        <w:rPr>
          <w:b/>
          <w:bCs/>
          <w:sz w:val="20"/>
          <w:szCs w:val="20"/>
          <w:lang w:val="en-US"/>
        </w:rPr>
      </w:pPr>
      <w:r w:rsidRPr="00B708EB">
        <w:rPr>
          <w:b/>
          <w:bCs/>
          <w:sz w:val="20"/>
          <w:szCs w:val="20"/>
          <w:lang w:val="en-US"/>
        </w:rPr>
        <w:t>Monoamine Oxidase Inhibitors Medication Card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450"/>
        <w:gridCol w:w="2337"/>
        <w:gridCol w:w="2338"/>
        <w:gridCol w:w="2338"/>
      </w:tblGrid>
      <w:tr w:rsidR="00B708EB" w:rsidRPr="00B708EB" w14:paraId="550BE9DF" w14:textId="77777777" w:rsidTr="00E76986">
        <w:trPr>
          <w:trHeight w:val="1103"/>
        </w:trPr>
        <w:tc>
          <w:tcPr>
            <w:tcW w:w="4787" w:type="dxa"/>
            <w:gridSpan w:val="2"/>
          </w:tcPr>
          <w:p w14:paraId="764E8667" w14:textId="77777777" w:rsidR="00B708EB" w:rsidRPr="00B708EB" w:rsidRDefault="00B708EB" w:rsidP="00E76986">
            <w:pPr>
              <w:rPr>
                <w:sz w:val="20"/>
                <w:szCs w:val="20"/>
                <w:lang w:val="en-US"/>
              </w:rPr>
            </w:pPr>
            <w:r w:rsidRPr="00B708EB">
              <w:rPr>
                <w:b/>
                <w:bCs/>
                <w:sz w:val="20"/>
                <w:szCs w:val="20"/>
                <w:lang w:val="en-US"/>
              </w:rPr>
              <w:t>Class:</w:t>
            </w:r>
            <w:r w:rsidRPr="00B708EB">
              <w:rPr>
                <w:sz w:val="20"/>
                <w:szCs w:val="20"/>
                <w:lang w:val="en-US"/>
              </w:rPr>
              <w:t xml:space="preserve"> Monoamine Oxidase Inhibitors</w:t>
            </w:r>
          </w:p>
          <w:p w14:paraId="3D8702A6" w14:textId="77777777" w:rsidR="00B708EB" w:rsidRPr="00B708EB" w:rsidRDefault="00B708EB" w:rsidP="00E76986">
            <w:pPr>
              <w:shd w:val="clear" w:color="auto" w:fill="FFFFFF"/>
              <w:spacing w:before="360"/>
              <w:rPr>
                <w:sz w:val="20"/>
                <w:szCs w:val="20"/>
                <w:lang w:val="en-US"/>
              </w:rPr>
            </w:pPr>
            <w:r w:rsidRPr="00B708EB">
              <w:rPr>
                <w:b/>
                <w:bCs/>
                <w:sz w:val="20"/>
                <w:szCs w:val="20"/>
                <w:lang w:val="en-US"/>
              </w:rPr>
              <w:t>Prototype:</w:t>
            </w:r>
            <w:r w:rsidRPr="00B708EB">
              <w:rPr>
                <w:sz w:val="20"/>
                <w:szCs w:val="20"/>
                <w:lang w:val="en-US"/>
              </w:rPr>
              <w:t xml:space="preserve"> Phenelzine (MAOI A and B (non-selective) for treatment of depression. </w:t>
            </w:r>
          </w:p>
        </w:tc>
        <w:tc>
          <w:tcPr>
            <w:tcW w:w="4676" w:type="dxa"/>
            <w:gridSpan w:val="2"/>
          </w:tcPr>
          <w:p w14:paraId="7F7D5D10" w14:textId="77777777" w:rsidR="00B708EB" w:rsidRPr="00B708EB" w:rsidRDefault="00B708EB" w:rsidP="00E76986">
            <w:pPr>
              <w:shd w:val="clear" w:color="auto" w:fill="FFFFFF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B708EB">
              <w:rPr>
                <w:b/>
                <w:bCs/>
                <w:sz w:val="20"/>
                <w:szCs w:val="20"/>
                <w:lang w:val="en-US"/>
              </w:rPr>
              <w:t>Indications:</w:t>
            </w:r>
            <w:r w:rsidRPr="00B708E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r w:rsidRPr="00B708EB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major depressive disorder or atypical depression in adults who have not responded adequately to other antidepressants.</w:t>
            </w:r>
          </w:p>
          <w:p w14:paraId="076828F3" w14:textId="77777777" w:rsidR="00B708EB" w:rsidRPr="00B708EB" w:rsidRDefault="00B708EB" w:rsidP="00E76986">
            <w:pPr>
              <w:shd w:val="clear" w:color="auto" w:fill="FFFFFF"/>
              <w:rPr>
                <w:rFonts w:cs="Calibri"/>
                <w:sz w:val="20"/>
                <w:szCs w:val="20"/>
                <w:lang w:val="en-US"/>
              </w:rPr>
            </w:pPr>
            <w:r w:rsidRPr="00B708E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Used off label to treat Parkinson’s disease, mood disorders such as anxiety or obsessive-compulsive disorder.</w:t>
            </w:r>
          </w:p>
          <w:p w14:paraId="41F7A89A" w14:textId="77777777" w:rsidR="00B708EB" w:rsidRPr="00B708EB" w:rsidRDefault="00B708EB" w:rsidP="00E7698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</w:tr>
      <w:tr w:rsidR="00B708EB" w:rsidRPr="00B708EB" w14:paraId="40E92813" w14:textId="77777777" w:rsidTr="00E76986">
        <w:tc>
          <w:tcPr>
            <w:tcW w:w="9463" w:type="dxa"/>
            <w:gridSpan w:val="4"/>
          </w:tcPr>
          <w:p w14:paraId="4517E641" w14:textId="77777777" w:rsidR="00B708EB" w:rsidRPr="00B708EB" w:rsidRDefault="00B708EB" w:rsidP="00E7698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B708EB">
              <w:rPr>
                <w:b/>
                <w:bCs/>
                <w:sz w:val="20"/>
                <w:szCs w:val="20"/>
                <w:lang w:val="en-US"/>
              </w:rPr>
              <w:t>Mechanism of Action:</w:t>
            </w:r>
            <w:r w:rsidRPr="00B708EB">
              <w:rPr>
                <w:sz w:val="20"/>
                <w:szCs w:val="20"/>
                <w:lang w:val="en-US"/>
              </w:rPr>
              <w:t xml:space="preserve"> not fully understood, but </w:t>
            </w:r>
            <w:r w:rsidRPr="00B708EB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presumed to be linked to the potentiation of monoamine neurotransmitter activity in the central nervous system resulting from its inhibition of the enzyme monoamine oxidase (MAO).</w:t>
            </w:r>
            <w:hyperlink r:id="rId4" w:anchor="footnote-403-12" w:tooltip="This work is a derivative of Daily Med by U.S. National Library of Medicine in the public domain.  " w:history="1"/>
            <w:r w:rsidRPr="00B708EB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 MAOIs prevent the breakdown of monoamine neurotransmitters, NE, dopamine, and serotonin, resulting in increased concentrations of these NTs in the brain and subsequent improved mood. MAO-A enzyme in the gut and liver also breakdown tyramine, so when inhibited, leads to increased adrenergic effect and ++ hypertension.</w:t>
            </w:r>
            <w:r w:rsidRPr="00B708E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</w:p>
        </w:tc>
      </w:tr>
      <w:tr w:rsidR="00B708EB" w:rsidRPr="00B708EB" w14:paraId="375C14B3" w14:textId="77777777" w:rsidTr="00E76986">
        <w:trPr>
          <w:trHeight w:val="2338"/>
        </w:trPr>
        <w:tc>
          <w:tcPr>
            <w:tcW w:w="2450" w:type="dxa"/>
          </w:tcPr>
          <w:p w14:paraId="4BB34049" w14:textId="77777777" w:rsidR="00B708EB" w:rsidRPr="00B708EB" w:rsidRDefault="00B708EB" w:rsidP="00E7698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708EB">
              <w:rPr>
                <w:b/>
                <w:bCs/>
                <w:sz w:val="20"/>
                <w:szCs w:val="20"/>
                <w:lang w:val="en-US"/>
              </w:rPr>
              <w:t xml:space="preserve">Administration: </w:t>
            </w:r>
          </w:p>
          <w:p w14:paraId="36B61320" w14:textId="77777777" w:rsidR="00B708EB" w:rsidRPr="00B708EB" w:rsidRDefault="00B708EB" w:rsidP="00E76986">
            <w:pPr>
              <w:rPr>
                <w:rFonts w:cs="Calibri"/>
                <w:sz w:val="20"/>
                <w:szCs w:val="20"/>
                <w:lang w:val="en-US"/>
              </w:rPr>
            </w:pPr>
            <w:r w:rsidRPr="00B708EB">
              <w:rPr>
                <w:rFonts w:cs="Calibri"/>
                <w:sz w:val="20"/>
                <w:szCs w:val="20"/>
                <w:lang w:val="en-US"/>
              </w:rPr>
              <w:t>Oral</w:t>
            </w:r>
          </w:p>
          <w:p w14:paraId="0F6C4BDD" w14:textId="77777777" w:rsidR="00B708EB" w:rsidRPr="00B708EB" w:rsidRDefault="00B708EB" w:rsidP="00E76986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02088DF7" w14:textId="22AAD9A5" w:rsidR="00B708EB" w:rsidRPr="00B708EB" w:rsidRDefault="00B708EB" w:rsidP="00E76986">
            <w:pPr>
              <w:rPr>
                <w:rFonts w:cs="Calibri"/>
                <w:sz w:val="20"/>
                <w:szCs w:val="20"/>
                <w:lang w:val="en-US"/>
              </w:rPr>
            </w:pPr>
            <w:r w:rsidRPr="00B708EB">
              <w:rPr>
                <w:rFonts w:cs="Calibri"/>
                <w:sz w:val="20"/>
                <w:szCs w:val="20"/>
                <w:lang w:val="en-US"/>
              </w:rPr>
              <w:t>May take up to 4 weeks to see effect</w:t>
            </w:r>
          </w:p>
          <w:p w14:paraId="1D3B0051" w14:textId="77777777" w:rsidR="00B708EB" w:rsidRPr="00B708EB" w:rsidRDefault="00B708EB" w:rsidP="00E76986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7B87F71F" w14:textId="4B30A13C" w:rsidR="00B708EB" w:rsidRPr="00B708EB" w:rsidRDefault="00B708EB" w:rsidP="00E76986">
            <w:pPr>
              <w:rPr>
                <w:rFonts w:cs="Calibri"/>
                <w:sz w:val="20"/>
                <w:szCs w:val="20"/>
                <w:lang w:val="en-US"/>
              </w:rPr>
            </w:pPr>
            <w:r w:rsidRPr="00B708EB">
              <w:rPr>
                <w:rFonts w:cs="Calibri"/>
                <w:sz w:val="20"/>
                <w:szCs w:val="20"/>
                <w:lang w:val="en-US"/>
              </w:rPr>
              <w:t>If switching between AD, need a 2 week wash out period</w:t>
            </w:r>
          </w:p>
          <w:p w14:paraId="2A204CFC" w14:textId="77777777" w:rsidR="00B708EB" w:rsidRPr="00B708EB" w:rsidRDefault="00B708EB" w:rsidP="00E76986">
            <w:pPr>
              <w:rPr>
                <w:sz w:val="20"/>
                <w:szCs w:val="20"/>
                <w:lang w:val="en-US"/>
              </w:rPr>
            </w:pPr>
          </w:p>
          <w:p w14:paraId="3436289A" w14:textId="77777777" w:rsidR="00B708EB" w:rsidRPr="00B708EB" w:rsidRDefault="00B708EB" w:rsidP="00E769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</w:tcPr>
          <w:p w14:paraId="1CC0799C" w14:textId="77777777" w:rsidR="00B708EB" w:rsidRPr="00B708EB" w:rsidRDefault="00B708EB" w:rsidP="00E7698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708EB">
              <w:rPr>
                <w:b/>
                <w:bCs/>
                <w:sz w:val="20"/>
                <w:szCs w:val="20"/>
                <w:lang w:val="en-US"/>
              </w:rPr>
              <w:t>Side Effects:</w:t>
            </w:r>
          </w:p>
          <w:p w14:paraId="1F060B19" w14:textId="77777777" w:rsidR="00B708EB" w:rsidRPr="00B708EB" w:rsidRDefault="00B708EB" w:rsidP="00E76986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B708E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Risk of suicidality - monitor</w:t>
            </w:r>
          </w:p>
          <w:p w14:paraId="2AE3E880" w14:textId="77777777" w:rsidR="00B708EB" w:rsidRPr="00B708EB" w:rsidRDefault="00B708EB" w:rsidP="00E76986">
            <w:pPr>
              <w:rPr>
                <w:sz w:val="20"/>
                <w:szCs w:val="20"/>
                <w:lang w:val="en-US"/>
              </w:rPr>
            </w:pPr>
          </w:p>
          <w:p w14:paraId="45E4851D" w14:textId="4C2FECA4" w:rsidR="00B708EB" w:rsidRPr="00B708EB" w:rsidRDefault="00B708EB" w:rsidP="00E76986">
            <w:pPr>
              <w:rPr>
                <w:sz w:val="20"/>
                <w:szCs w:val="20"/>
                <w:lang w:val="en-US"/>
              </w:rPr>
            </w:pPr>
            <w:r w:rsidRPr="00B708EB">
              <w:rPr>
                <w:sz w:val="20"/>
                <w:szCs w:val="20"/>
                <w:lang w:val="en-US"/>
              </w:rPr>
              <w:t xml:space="preserve">Risk of hypertensive crisis- avoid tyramine (aged cheese, pickled foods, </w:t>
            </w:r>
            <w:r w:rsidRPr="00B708EB">
              <w:rPr>
                <w:sz w:val="20"/>
                <w:szCs w:val="20"/>
                <w:lang w:val="en-US"/>
              </w:rPr>
              <w:t>etc</w:t>
            </w:r>
            <w:r w:rsidRPr="00B708EB">
              <w:rPr>
                <w:sz w:val="20"/>
                <w:szCs w:val="20"/>
                <w:lang w:val="en-US"/>
              </w:rPr>
              <w:t>). occipital HA, SOB, N&amp;V</w:t>
            </w:r>
          </w:p>
          <w:p w14:paraId="6AD38ADD" w14:textId="77777777" w:rsidR="00B708EB" w:rsidRPr="00B708EB" w:rsidRDefault="00B708EB" w:rsidP="00E76986">
            <w:pPr>
              <w:rPr>
                <w:sz w:val="20"/>
                <w:szCs w:val="20"/>
                <w:lang w:val="en-US"/>
              </w:rPr>
            </w:pPr>
          </w:p>
          <w:p w14:paraId="50833E9D" w14:textId="1A5F964C" w:rsidR="00B708EB" w:rsidRPr="00B708EB" w:rsidRDefault="00B708EB" w:rsidP="00E76986">
            <w:pPr>
              <w:rPr>
                <w:rFonts w:cs="Calibri"/>
                <w:sz w:val="20"/>
                <w:szCs w:val="20"/>
                <w:lang w:eastAsia="en-CA"/>
              </w:rPr>
            </w:pPr>
            <w:r w:rsidRPr="00B708EB">
              <w:rPr>
                <w:rFonts w:cs="Calibri"/>
                <w:sz w:val="20"/>
                <w:szCs w:val="20"/>
                <w:lang w:eastAsia="en-CA"/>
              </w:rPr>
              <w:t xml:space="preserve">orthostatic hypotension, daytime fatigue, insomnia, nausea, constipation and dry mouth  </w:t>
            </w:r>
          </w:p>
          <w:p w14:paraId="3D5134D9" w14:textId="77777777" w:rsidR="00B708EB" w:rsidRPr="00B708EB" w:rsidRDefault="00B708EB" w:rsidP="00E76986">
            <w:pPr>
              <w:rPr>
                <w:rFonts w:cs="Calibri"/>
                <w:sz w:val="20"/>
                <w:szCs w:val="20"/>
                <w:lang w:eastAsia="en-CA"/>
              </w:rPr>
            </w:pPr>
          </w:p>
          <w:p w14:paraId="5605F050" w14:textId="3977E279" w:rsidR="00B708EB" w:rsidRPr="00B708EB" w:rsidRDefault="00B708EB" w:rsidP="00E76986">
            <w:pPr>
              <w:rPr>
                <w:sz w:val="20"/>
                <w:szCs w:val="20"/>
                <w:lang w:eastAsia="en-CA"/>
              </w:rPr>
            </w:pPr>
            <w:r w:rsidRPr="00B708EB">
              <w:rPr>
                <w:rFonts w:cs="Calibri"/>
                <w:sz w:val="20"/>
                <w:szCs w:val="20"/>
                <w:lang w:eastAsia="en-CA"/>
              </w:rPr>
              <w:t>Long term effects include weight gain and sexual dysfunction</w:t>
            </w:r>
          </w:p>
          <w:p w14:paraId="23B250F9" w14:textId="77777777" w:rsidR="00B708EB" w:rsidRPr="00B708EB" w:rsidRDefault="00B708EB" w:rsidP="00E769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</w:tcPr>
          <w:p w14:paraId="0AD93787" w14:textId="77777777" w:rsidR="00B708EB" w:rsidRPr="00B708EB" w:rsidRDefault="00B708EB" w:rsidP="00E7698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708EB">
              <w:rPr>
                <w:b/>
                <w:bCs/>
                <w:sz w:val="20"/>
                <w:szCs w:val="20"/>
                <w:lang w:val="en-US"/>
              </w:rPr>
              <w:t xml:space="preserve">Contraindications: </w:t>
            </w:r>
          </w:p>
          <w:p w14:paraId="4A33EC11" w14:textId="77777777" w:rsidR="00B708EB" w:rsidRPr="00B708EB" w:rsidRDefault="00B708EB" w:rsidP="00E76986">
            <w:pPr>
              <w:rPr>
                <w:sz w:val="20"/>
                <w:szCs w:val="20"/>
                <w:lang w:val="en-US"/>
              </w:rPr>
            </w:pPr>
            <w:r w:rsidRPr="00B708EB">
              <w:rPr>
                <w:sz w:val="20"/>
                <w:szCs w:val="20"/>
                <w:lang w:val="en-US"/>
              </w:rPr>
              <w:t>Not for peds</w:t>
            </w:r>
          </w:p>
          <w:p w14:paraId="44F42097" w14:textId="23A6461A" w:rsidR="00B708EB" w:rsidRPr="00B708EB" w:rsidRDefault="00B708EB" w:rsidP="00E76986">
            <w:pPr>
              <w:rPr>
                <w:sz w:val="20"/>
                <w:szCs w:val="20"/>
                <w:lang w:val="en-US"/>
              </w:rPr>
            </w:pPr>
            <w:r w:rsidRPr="00B708EB">
              <w:rPr>
                <w:sz w:val="20"/>
                <w:szCs w:val="20"/>
                <w:lang w:val="en-US"/>
              </w:rPr>
              <w:t>Avoid with renal or liver disease</w:t>
            </w:r>
          </w:p>
          <w:p w14:paraId="64932795" w14:textId="77777777" w:rsidR="00B708EB" w:rsidRPr="00B708EB" w:rsidRDefault="00B708EB" w:rsidP="00E76986">
            <w:pPr>
              <w:rPr>
                <w:sz w:val="20"/>
                <w:szCs w:val="20"/>
                <w:lang w:val="en-US"/>
              </w:rPr>
            </w:pPr>
          </w:p>
          <w:p w14:paraId="7C625A17" w14:textId="77777777" w:rsidR="00B708EB" w:rsidRPr="00B708EB" w:rsidRDefault="00B708EB" w:rsidP="00E76986">
            <w:pPr>
              <w:rPr>
                <w:sz w:val="20"/>
                <w:szCs w:val="20"/>
                <w:lang w:val="en-US"/>
              </w:rPr>
            </w:pPr>
            <w:r w:rsidRPr="00B708EB">
              <w:rPr>
                <w:sz w:val="20"/>
                <w:szCs w:val="20"/>
                <w:lang w:val="en-US"/>
              </w:rPr>
              <w:t xml:space="preserve">Drug interactions: </w:t>
            </w:r>
          </w:p>
          <w:p w14:paraId="642711D3" w14:textId="3CDC1BFA" w:rsidR="00B708EB" w:rsidRPr="00B708EB" w:rsidRDefault="00B708EB" w:rsidP="00E76986">
            <w:pPr>
              <w:rPr>
                <w:sz w:val="20"/>
                <w:szCs w:val="20"/>
              </w:rPr>
            </w:pPr>
            <w:r w:rsidRPr="00B708EB">
              <w:rPr>
                <w:sz w:val="20"/>
                <w:szCs w:val="20"/>
              </w:rPr>
              <w:t xml:space="preserve">Risk of serotonin syndrome if use other ADs. Wash out period </w:t>
            </w:r>
          </w:p>
          <w:p w14:paraId="0316EC3F" w14:textId="77777777" w:rsidR="00B708EB" w:rsidRPr="00B708EB" w:rsidRDefault="00B708EB" w:rsidP="00E76986">
            <w:pPr>
              <w:rPr>
                <w:sz w:val="20"/>
                <w:szCs w:val="20"/>
              </w:rPr>
            </w:pPr>
          </w:p>
          <w:p w14:paraId="49E3B407" w14:textId="5087C17E" w:rsidR="00B708EB" w:rsidRPr="00B708EB" w:rsidRDefault="00B708EB" w:rsidP="00E76986">
            <w:pPr>
              <w:rPr>
                <w:sz w:val="20"/>
                <w:szCs w:val="20"/>
              </w:rPr>
            </w:pPr>
            <w:r w:rsidRPr="00B708EB">
              <w:rPr>
                <w:sz w:val="20"/>
                <w:szCs w:val="20"/>
              </w:rPr>
              <w:t xml:space="preserve">Caution with decongestants </w:t>
            </w:r>
          </w:p>
          <w:p w14:paraId="7D2A0827" w14:textId="77777777" w:rsidR="00B708EB" w:rsidRPr="00B708EB" w:rsidRDefault="00B708EB" w:rsidP="00E76986">
            <w:pPr>
              <w:rPr>
                <w:sz w:val="20"/>
                <w:szCs w:val="20"/>
              </w:rPr>
            </w:pPr>
          </w:p>
          <w:p w14:paraId="3F7E4B5B" w14:textId="176AF447" w:rsidR="00B708EB" w:rsidRPr="00B708EB" w:rsidRDefault="00B708EB" w:rsidP="00E76986">
            <w:pPr>
              <w:rPr>
                <w:sz w:val="20"/>
                <w:szCs w:val="20"/>
              </w:rPr>
            </w:pPr>
            <w:r w:rsidRPr="00B708EB">
              <w:rPr>
                <w:sz w:val="20"/>
                <w:szCs w:val="20"/>
              </w:rPr>
              <w:t xml:space="preserve">Avoid antibiotic linezolid </w:t>
            </w:r>
          </w:p>
          <w:p w14:paraId="6B1DC197" w14:textId="77777777" w:rsidR="00B708EB" w:rsidRPr="00B708EB" w:rsidRDefault="00B708EB" w:rsidP="00E76986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6F98AE65" w14:textId="77777777" w:rsidR="00B708EB" w:rsidRPr="00B708EB" w:rsidRDefault="00B708EB" w:rsidP="00E7698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708EB">
              <w:rPr>
                <w:b/>
                <w:bCs/>
                <w:sz w:val="20"/>
                <w:szCs w:val="20"/>
                <w:lang w:val="en-US"/>
              </w:rPr>
              <w:t>Nursing Considerations:</w:t>
            </w:r>
          </w:p>
          <w:p w14:paraId="4F675226" w14:textId="62CB1E32" w:rsidR="00B708EB" w:rsidRPr="00B708EB" w:rsidRDefault="00B708EB" w:rsidP="00E76986">
            <w:pPr>
              <w:rPr>
                <w:sz w:val="20"/>
                <w:szCs w:val="20"/>
                <w:lang w:val="en-US"/>
              </w:rPr>
            </w:pPr>
            <w:r w:rsidRPr="00B708EB">
              <w:rPr>
                <w:sz w:val="20"/>
                <w:szCs w:val="20"/>
                <w:lang w:val="en-US"/>
              </w:rPr>
              <w:t>Monitor BP before and during treatment</w:t>
            </w:r>
          </w:p>
          <w:p w14:paraId="10CB5010" w14:textId="77777777" w:rsidR="00B708EB" w:rsidRPr="00B708EB" w:rsidRDefault="00B708EB" w:rsidP="00E76986">
            <w:pPr>
              <w:rPr>
                <w:sz w:val="20"/>
                <w:szCs w:val="20"/>
                <w:lang w:val="en-US"/>
              </w:rPr>
            </w:pPr>
          </w:p>
          <w:p w14:paraId="49C76694" w14:textId="4F29C730" w:rsidR="00B708EB" w:rsidRPr="00B708EB" w:rsidRDefault="00B708EB" w:rsidP="00E76986">
            <w:pPr>
              <w:rPr>
                <w:sz w:val="20"/>
                <w:szCs w:val="20"/>
                <w:lang w:val="en-US"/>
              </w:rPr>
            </w:pPr>
            <w:r w:rsidRPr="00B708EB">
              <w:rPr>
                <w:sz w:val="20"/>
                <w:szCs w:val="20"/>
                <w:lang w:val="en-US"/>
              </w:rPr>
              <w:t>Monitor mood and assess other symptoms</w:t>
            </w:r>
          </w:p>
          <w:p w14:paraId="01B70F64" w14:textId="77777777" w:rsidR="00B708EB" w:rsidRPr="00B708EB" w:rsidRDefault="00B708EB" w:rsidP="00E76986">
            <w:pPr>
              <w:rPr>
                <w:sz w:val="20"/>
                <w:szCs w:val="20"/>
                <w:lang w:val="en-US"/>
              </w:rPr>
            </w:pPr>
          </w:p>
          <w:p w14:paraId="66D617B6" w14:textId="77777777" w:rsidR="00B708EB" w:rsidRPr="00B708EB" w:rsidRDefault="00B708EB" w:rsidP="00E76986">
            <w:pPr>
              <w:rPr>
                <w:sz w:val="20"/>
                <w:szCs w:val="20"/>
                <w:lang w:val="en-US"/>
              </w:rPr>
            </w:pPr>
            <w:r w:rsidRPr="00B708EB">
              <w:rPr>
                <w:sz w:val="20"/>
                <w:szCs w:val="20"/>
                <w:lang w:val="en-US"/>
              </w:rPr>
              <w:t>Client teaching:</w:t>
            </w:r>
          </w:p>
          <w:p w14:paraId="3E589DA7" w14:textId="632A1910" w:rsidR="00B708EB" w:rsidRPr="00B708EB" w:rsidRDefault="00B708EB" w:rsidP="00E76986">
            <w:pPr>
              <w:rPr>
                <w:sz w:val="20"/>
                <w:szCs w:val="20"/>
                <w:lang w:val="en-US"/>
              </w:rPr>
            </w:pPr>
            <w:r w:rsidRPr="00B708EB">
              <w:rPr>
                <w:sz w:val="20"/>
                <w:szCs w:val="20"/>
                <w:lang w:val="en-US"/>
              </w:rPr>
              <w:t xml:space="preserve">Do not abruptly discontinue </w:t>
            </w:r>
          </w:p>
          <w:p w14:paraId="4A5AD01C" w14:textId="77777777" w:rsidR="00B708EB" w:rsidRPr="00B708EB" w:rsidRDefault="00B708EB" w:rsidP="00E76986">
            <w:pPr>
              <w:rPr>
                <w:sz w:val="20"/>
                <w:szCs w:val="20"/>
                <w:lang w:val="en-US"/>
              </w:rPr>
            </w:pPr>
          </w:p>
          <w:p w14:paraId="68A4D5CC" w14:textId="48A7043F" w:rsidR="00B708EB" w:rsidRPr="00B708EB" w:rsidRDefault="00B708EB" w:rsidP="00E76986">
            <w:pPr>
              <w:rPr>
                <w:sz w:val="20"/>
                <w:szCs w:val="20"/>
                <w:lang w:val="en-US"/>
              </w:rPr>
            </w:pPr>
            <w:r w:rsidRPr="00B708EB">
              <w:rPr>
                <w:sz w:val="20"/>
                <w:szCs w:val="20"/>
                <w:lang w:val="en-US"/>
              </w:rPr>
              <w:t>Avoid alcohol and other CNS meds</w:t>
            </w:r>
          </w:p>
          <w:p w14:paraId="1479958D" w14:textId="77777777" w:rsidR="00B708EB" w:rsidRPr="00B708EB" w:rsidRDefault="00B708EB" w:rsidP="00E76986">
            <w:pPr>
              <w:rPr>
                <w:sz w:val="20"/>
                <w:szCs w:val="20"/>
                <w:lang w:val="en-US"/>
              </w:rPr>
            </w:pPr>
          </w:p>
          <w:p w14:paraId="16AAF3EA" w14:textId="18EE993E" w:rsidR="00B708EB" w:rsidRPr="00B708EB" w:rsidRDefault="00B708EB" w:rsidP="00E76986">
            <w:pPr>
              <w:rPr>
                <w:sz w:val="20"/>
                <w:szCs w:val="20"/>
                <w:lang w:val="en-US"/>
              </w:rPr>
            </w:pPr>
            <w:r w:rsidRPr="00B708EB">
              <w:rPr>
                <w:sz w:val="20"/>
                <w:szCs w:val="20"/>
                <w:lang w:val="en-US"/>
              </w:rPr>
              <w:t>Risk of hypertensive crisis if eating foods containing tyramine</w:t>
            </w:r>
          </w:p>
        </w:tc>
      </w:tr>
    </w:tbl>
    <w:p w14:paraId="3C251976" w14:textId="77777777" w:rsidR="00B708EB" w:rsidRDefault="00B708EB"/>
    <w:p w14:paraId="35AB51E3" w14:textId="77777777" w:rsidR="00B708EB" w:rsidRDefault="00B708EB"/>
    <w:sectPr w:rsidR="00B708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EB"/>
    <w:rsid w:val="00261E4D"/>
    <w:rsid w:val="00464599"/>
    <w:rsid w:val="006D2C2C"/>
    <w:rsid w:val="00734E8C"/>
    <w:rsid w:val="0096662A"/>
    <w:rsid w:val="009F730C"/>
    <w:rsid w:val="00B708EB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C19C"/>
  <w15:chartTrackingRefBased/>
  <w15:docId w15:val="{CD7DB43E-B9FE-374B-BA16-F1AD65E5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8E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8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8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8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8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8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8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8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8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8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8E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8E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70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8E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70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8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08E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entextbc.ca/nursingpharmacology/chapter/8-7-antidepressa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1753</Characters>
  <Application>Microsoft Office Word</Application>
  <DocSecurity>0</DocSecurity>
  <Lines>87</Lines>
  <Paragraphs>37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1</cp:revision>
  <dcterms:created xsi:type="dcterms:W3CDTF">2026-01-29T18:25:00Z</dcterms:created>
  <dcterms:modified xsi:type="dcterms:W3CDTF">2026-01-29T18:28:00Z</dcterms:modified>
</cp:coreProperties>
</file>