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F3B6" w14:textId="60B56FBE" w:rsidR="00734E8C" w:rsidRPr="00C25F1E" w:rsidRDefault="00C25F1E" w:rsidP="00C25F1E">
      <w:pPr>
        <w:spacing w:after="0"/>
        <w:rPr>
          <w:rFonts w:cstheme="minorHAnsi"/>
          <w:b/>
          <w:bCs/>
          <w:sz w:val="20"/>
          <w:szCs w:val="20"/>
          <w:lang w:val="en-US" w:eastAsia="en-CA"/>
        </w:rPr>
      </w:pPr>
      <w:r w:rsidRPr="00C25F1E">
        <w:rPr>
          <w:rFonts w:cstheme="minorHAnsi"/>
          <w:b/>
          <w:bCs/>
          <w:sz w:val="20"/>
          <w:szCs w:val="20"/>
          <w:lang w:val="en-US" w:eastAsia="en-CA"/>
        </w:rPr>
        <w:t>Metoprolol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962"/>
        <w:gridCol w:w="2160"/>
        <w:gridCol w:w="2160"/>
      </w:tblGrid>
      <w:tr w:rsidR="00C25F1E" w:rsidRPr="00C25F1E" w14:paraId="277531BD" w14:textId="77777777" w:rsidTr="00F24F94">
        <w:tc>
          <w:tcPr>
            <w:tcW w:w="2358" w:type="dxa"/>
          </w:tcPr>
          <w:p w14:paraId="595C3F02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Class: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Antihypertensives – Beta-1 Antagonist (Beta Blocker)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</w: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Prototype: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Metoprolol</w:t>
            </w:r>
          </w:p>
        </w:tc>
        <w:tc>
          <w:tcPr>
            <w:tcW w:w="6282" w:type="dxa"/>
            <w:gridSpan w:val="3"/>
          </w:tcPr>
          <w:p w14:paraId="42EA0957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Indications: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Hypertension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Chest pain related to poor coronary blood flow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Tachycardia and rapid arrhythmias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Early intervention in myocardial infarction to reduce cardiac workload</w:t>
            </w:r>
          </w:p>
        </w:tc>
      </w:tr>
      <w:tr w:rsidR="00C25F1E" w:rsidRPr="00C25F1E" w14:paraId="20D6C2D3" w14:textId="77777777" w:rsidTr="00F24F94">
        <w:tc>
          <w:tcPr>
            <w:tcW w:w="8640" w:type="dxa"/>
            <w:gridSpan w:val="4"/>
          </w:tcPr>
          <w:p w14:paraId="5601DF0C" w14:textId="28B9BFE5" w:rsidR="002015A4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Mechanism of Action: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Metoprolol selectively blocks beta</w:t>
            </w:r>
            <w:r w:rsidRPr="00C25F1E">
              <w:rPr>
                <w:rFonts w:ascii="Cambria Math" w:hAnsi="Cambria Math" w:cs="Cambria Math"/>
                <w:sz w:val="20"/>
                <w:szCs w:val="20"/>
                <w:lang w:val="en-US" w:eastAsia="en-CA"/>
              </w:rPr>
              <w:t>‑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1 receptors in the heart, resulting in decreased heart rate, decreased myocardial contractility, and lowered blood pressure. At higher doses, beta</w:t>
            </w:r>
            <w:r w:rsidRPr="00C25F1E">
              <w:rPr>
                <w:rFonts w:ascii="Cambria Math" w:hAnsi="Cambria Math" w:cs="Cambria Math"/>
                <w:sz w:val="20"/>
                <w:szCs w:val="20"/>
                <w:lang w:val="en-US" w:eastAsia="en-CA"/>
              </w:rPr>
              <w:t>‑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2 receptor blockade may occur, potentially causing bronchoconstriction.</w:t>
            </w:r>
          </w:p>
        </w:tc>
      </w:tr>
      <w:tr w:rsidR="00C25F1E" w:rsidRPr="00C25F1E" w14:paraId="73D7C870" w14:textId="77777777" w:rsidTr="00F24F94">
        <w:tc>
          <w:tcPr>
            <w:tcW w:w="2358" w:type="dxa"/>
          </w:tcPr>
          <w:p w14:paraId="69FCEEF8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Administration: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Do not crush tablets</w:t>
            </w:r>
          </w:p>
          <w:p w14:paraId="27688387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Give on empty stomach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</w:r>
          </w:p>
          <w:p w14:paraId="6F8A86F1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Assess heart rate; hold medication if HR &lt; 60 bpm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</w:r>
          </w:p>
          <w:p w14:paraId="3067AE88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Take at the same time every day as prescribed</w:t>
            </w:r>
          </w:p>
        </w:tc>
        <w:tc>
          <w:tcPr>
            <w:tcW w:w="1962" w:type="dxa"/>
          </w:tcPr>
          <w:p w14:paraId="149F6F4D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Side Effects: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Fatigue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Dizziness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Depression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Insomnia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Nightmares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GI upset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Erectile dysfunction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Dyspnea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Wheezing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Cold sensitivity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SAFETY: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Taper dose gradually over several weeks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• Abrupt discontinuation may cause chest pain or myocardial infarction</w:t>
            </w:r>
          </w:p>
        </w:tc>
        <w:tc>
          <w:tcPr>
            <w:tcW w:w="2160" w:type="dxa"/>
          </w:tcPr>
          <w:p w14:paraId="437D92EC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Contraindications: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Asthma or reactive airway disease</w:t>
            </w:r>
          </w:p>
          <w:p w14:paraId="437A392E" w14:textId="32B3C582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Higher doses may block beta</w:t>
            </w:r>
            <w:r w:rsidRPr="00C25F1E">
              <w:rPr>
                <w:rFonts w:ascii="Cambria Math" w:hAnsi="Cambria Math" w:cs="Cambria Math"/>
                <w:sz w:val="20"/>
                <w:szCs w:val="20"/>
                <w:lang w:val="en-US" w:eastAsia="en-CA"/>
              </w:rPr>
              <w:t>‑</w:t>
            </w: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2 receptors causing bronchoconstriction and cough</w:t>
            </w:r>
          </w:p>
          <w:p w14:paraId="42F0848F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</w:p>
          <w:p w14:paraId="201A3C8A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Do not give if bradycardia, heart block or HF</w:t>
            </w:r>
          </w:p>
        </w:tc>
        <w:tc>
          <w:tcPr>
            <w:tcW w:w="2160" w:type="dxa"/>
          </w:tcPr>
          <w:p w14:paraId="4507C362" w14:textId="1F73ABF2" w:rsidR="00C25F1E" w:rsidRPr="00E15F64" w:rsidRDefault="00C25F1E" w:rsidP="00F24F94">
            <w:pPr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b/>
                <w:bCs/>
                <w:sz w:val="20"/>
                <w:szCs w:val="20"/>
                <w:lang w:val="en-US" w:eastAsia="en-CA"/>
              </w:rPr>
              <w:t>Nursing Considerations:</w:t>
            </w:r>
          </w:p>
          <w:p w14:paraId="55DF5892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>Monitor BP and HR daily. Hold if HR less than 60 bpm, or SBP less than 90, notify Dr</w:t>
            </w:r>
          </w:p>
          <w:p w14:paraId="7455CE4D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Masks symptoms of hypoglycemia</w:t>
            </w:r>
          </w:p>
          <w:p w14:paraId="1AD84414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br/>
              <w:t>Monitor blood glucose closely in diabetic patients</w:t>
            </w:r>
          </w:p>
          <w:p w14:paraId="75B88084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</w:p>
          <w:p w14:paraId="42272C35" w14:textId="77777777" w:rsidR="00C25F1E" w:rsidRPr="00C25F1E" w:rsidRDefault="00C25F1E" w:rsidP="00F24F94">
            <w:pPr>
              <w:rPr>
                <w:rFonts w:cstheme="minorHAnsi"/>
                <w:sz w:val="20"/>
                <w:szCs w:val="20"/>
                <w:lang w:val="en-US" w:eastAsia="en-CA"/>
              </w:rPr>
            </w:pPr>
            <w:r w:rsidRPr="00C25F1E">
              <w:rPr>
                <w:rFonts w:cstheme="minorHAnsi"/>
                <w:sz w:val="20"/>
                <w:szCs w:val="20"/>
                <w:lang w:val="en-US" w:eastAsia="en-CA"/>
              </w:rPr>
              <w:t xml:space="preserve">Monitor lytes, avoid hypokalemia. </w:t>
            </w:r>
          </w:p>
        </w:tc>
      </w:tr>
    </w:tbl>
    <w:p w14:paraId="177AB41B" w14:textId="77777777" w:rsidR="00C25F1E" w:rsidRDefault="00C25F1E"/>
    <w:p w14:paraId="77FA8840" w14:textId="77777777" w:rsidR="00C25F1E" w:rsidRDefault="00C25F1E"/>
    <w:sectPr w:rsidR="00C25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1E"/>
    <w:rsid w:val="002015A4"/>
    <w:rsid w:val="00464599"/>
    <w:rsid w:val="006D2C2C"/>
    <w:rsid w:val="00734E8C"/>
    <w:rsid w:val="008D01D5"/>
    <w:rsid w:val="0096662A"/>
    <w:rsid w:val="009F730C"/>
    <w:rsid w:val="00A86544"/>
    <w:rsid w:val="00C25F1E"/>
    <w:rsid w:val="00E15F64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A0128"/>
  <w15:chartTrackingRefBased/>
  <w15:docId w15:val="{DAD54FAB-B8F3-C545-AEB9-6E544C26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1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F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F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5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1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5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1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5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F1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1217</Characters>
  <Application>Microsoft Office Word</Application>
  <DocSecurity>0</DocSecurity>
  <Lines>93</Lines>
  <Paragraphs>19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4</cp:revision>
  <dcterms:created xsi:type="dcterms:W3CDTF">2026-02-26T18:20:00Z</dcterms:created>
  <dcterms:modified xsi:type="dcterms:W3CDTF">2026-02-26T18:26:00Z</dcterms:modified>
</cp:coreProperties>
</file>