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D2F9" w14:textId="6714190B" w:rsidR="00734E8C" w:rsidRPr="00D02993" w:rsidRDefault="00D02993" w:rsidP="00D02993">
      <w:pPr>
        <w:spacing w:after="0"/>
        <w:rPr>
          <w:b/>
          <w:bCs/>
          <w:lang w:val="en-US"/>
        </w:rPr>
      </w:pPr>
      <w:r w:rsidRPr="00D02993">
        <w:rPr>
          <w:b/>
          <w:bCs/>
          <w:lang w:val="en-US"/>
        </w:rPr>
        <w:t>Methylphenidate Medication Card</w:t>
      </w:r>
    </w:p>
    <w:tbl>
      <w:tblPr>
        <w:tblStyle w:val="TableGrid"/>
        <w:tblW w:w="0" w:type="auto"/>
        <w:tblLook w:val="04A0" w:firstRow="1" w:lastRow="0" w:firstColumn="1" w:lastColumn="0" w:noHBand="0" w:noVBand="1"/>
      </w:tblPr>
      <w:tblGrid>
        <w:gridCol w:w="2337"/>
        <w:gridCol w:w="2337"/>
        <w:gridCol w:w="2267"/>
        <w:gridCol w:w="2409"/>
      </w:tblGrid>
      <w:tr w:rsidR="00D02993" w:rsidRPr="00D02993" w14:paraId="36EB11CF" w14:textId="77777777" w:rsidTr="00E76986">
        <w:trPr>
          <w:trHeight w:val="1103"/>
        </w:trPr>
        <w:tc>
          <w:tcPr>
            <w:tcW w:w="4674" w:type="dxa"/>
            <w:gridSpan w:val="2"/>
          </w:tcPr>
          <w:p w14:paraId="197E30DC" w14:textId="0911A2C7" w:rsidR="00D02993" w:rsidRPr="00D02993" w:rsidRDefault="00D02993" w:rsidP="00E76986">
            <w:pPr>
              <w:rPr>
                <w:lang w:val="en-US"/>
              </w:rPr>
            </w:pPr>
            <w:r w:rsidRPr="00D02993">
              <w:rPr>
                <w:b/>
                <w:bCs/>
                <w:lang w:val="en-US"/>
              </w:rPr>
              <w:t>Class:</w:t>
            </w:r>
            <w:r w:rsidRPr="00D02993">
              <w:rPr>
                <w:lang w:val="en-US"/>
              </w:rPr>
              <w:t xml:space="preserve"> CNS stimulants</w:t>
            </w:r>
          </w:p>
          <w:p w14:paraId="192519C0" w14:textId="77777777" w:rsidR="00D02993" w:rsidRPr="00D02993" w:rsidRDefault="00D02993" w:rsidP="00E76986">
            <w:pPr>
              <w:rPr>
                <w:lang w:val="en-US"/>
              </w:rPr>
            </w:pPr>
            <w:r w:rsidRPr="00D02993">
              <w:rPr>
                <w:b/>
                <w:bCs/>
                <w:lang w:val="en-US"/>
              </w:rPr>
              <w:t>Prototype:</w:t>
            </w:r>
            <w:r w:rsidRPr="00D02993">
              <w:rPr>
                <w:lang w:val="en-US"/>
              </w:rPr>
              <w:t xml:space="preserve"> Methylphenidate</w:t>
            </w:r>
          </w:p>
          <w:p w14:paraId="3F59AC92" w14:textId="77777777" w:rsidR="00D02993" w:rsidRPr="00D02993" w:rsidRDefault="00D02993" w:rsidP="00E76986">
            <w:pPr>
              <w:rPr>
                <w:lang w:val="en-US"/>
              </w:rPr>
            </w:pPr>
            <w:r w:rsidRPr="00D02993">
              <w:rPr>
                <w:b/>
                <w:bCs/>
                <w:lang w:val="en-US"/>
              </w:rPr>
              <w:t>Trade name:</w:t>
            </w:r>
            <w:r w:rsidRPr="00D02993">
              <w:rPr>
                <w:lang w:val="en-US"/>
              </w:rPr>
              <w:t xml:space="preserve"> Ritalin, Concerta</w:t>
            </w:r>
          </w:p>
          <w:p w14:paraId="6E3E445D" w14:textId="77777777" w:rsidR="00D02993" w:rsidRPr="00D02993" w:rsidRDefault="00D02993" w:rsidP="00E76986">
            <w:pPr>
              <w:rPr>
                <w:lang w:val="en-US"/>
              </w:rPr>
            </w:pPr>
          </w:p>
        </w:tc>
        <w:tc>
          <w:tcPr>
            <w:tcW w:w="4676" w:type="dxa"/>
            <w:gridSpan w:val="2"/>
          </w:tcPr>
          <w:p w14:paraId="65D19021" w14:textId="77777777" w:rsidR="00D02993" w:rsidRPr="00D02993" w:rsidRDefault="00D02993" w:rsidP="00E76986">
            <w:pPr>
              <w:rPr>
                <w:lang w:val="en-US"/>
              </w:rPr>
            </w:pPr>
            <w:r w:rsidRPr="00D02993">
              <w:rPr>
                <w:b/>
                <w:bCs/>
                <w:lang w:val="en-US"/>
              </w:rPr>
              <w:t>Indications:</w:t>
            </w:r>
            <w:r w:rsidRPr="00D02993">
              <w:rPr>
                <w:lang w:val="en-US"/>
              </w:rPr>
              <w:t xml:space="preserve"> Attention Deficit Disorder, Narcolepsy </w:t>
            </w:r>
          </w:p>
          <w:p w14:paraId="339334DB" w14:textId="77777777" w:rsidR="00D02993" w:rsidRPr="00D02993" w:rsidRDefault="00D02993" w:rsidP="00E76986">
            <w:pPr>
              <w:rPr>
                <w:lang w:val="en-US"/>
              </w:rPr>
            </w:pPr>
          </w:p>
          <w:p w14:paraId="315F7A7E" w14:textId="77777777" w:rsidR="00D02993" w:rsidRPr="00D02993" w:rsidRDefault="00D02993" w:rsidP="00E76986">
            <w:r w:rsidRPr="00D02993">
              <w:rPr>
                <w:b/>
                <w:bCs/>
                <w:lang w:val="en-US"/>
              </w:rPr>
              <w:t>Therapeutic Effect:</w:t>
            </w:r>
            <w:r w:rsidRPr="00D02993">
              <w:rPr>
                <w:lang w:val="en-US"/>
              </w:rPr>
              <w:t xml:space="preserve"> Increased mental focus and attention</w:t>
            </w:r>
          </w:p>
        </w:tc>
      </w:tr>
      <w:tr w:rsidR="00D02993" w:rsidRPr="00D02993" w14:paraId="55F95005" w14:textId="77777777" w:rsidTr="00E76986">
        <w:tc>
          <w:tcPr>
            <w:tcW w:w="9350" w:type="dxa"/>
            <w:gridSpan w:val="4"/>
          </w:tcPr>
          <w:p w14:paraId="73170A76" w14:textId="77777777" w:rsidR="00D02993" w:rsidRPr="00D02993" w:rsidRDefault="00D02993" w:rsidP="00E76986">
            <w:pPr>
              <w:rPr>
                <w:lang w:val="en-US"/>
              </w:rPr>
            </w:pPr>
            <w:r w:rsidRPr="00D02993">
              <w:rPr>
                <w:rFonts w:cstheme="minorHAnsi"/>
                <w:b/>
                <w:bCs/>
                <w:lang w:val="en-US"/>
              </w:rPr>
              <w:t>Mechanism of Action:</w:t>
            </w:r>
            <w:r w:rsidRPr="00D02993">
              <w:rPr>
                <w:rFonts w:cstheme="minorHAnsi"/>
                <w:lang w:val="en-US"/>
              </w:rPr>
              <w:t xml:space="preserve"> B</w:t>
            </w:r>
            <w:r w:rsidRPr="00D02993">
              <w:rPr>
                <w:rFonts w:eastAsia="Times New Roman" w:cstheme="minorHAnsi"/>
                <w:color w:val="000000"/>
                <w:kern w:val="0"/>
                <w:lang w:eastAsia="en-CA"/>
                <w14:ligatures w14:val="none"/>
              </w:rPr>
              <w:t>locks the reuptake of norepinephrine and dopamine into the presynaptic neuron. Also i</w:t>
            </w:r>
            <w:r w:rsidRPr="00D02993">
              <w:rPr>
                <w:rFonts w:cstheme="minorHAnsi"/>
                <w:color w:val="000000"/>
                <w:shd w:val="clear" w:color="auto" w:fill="FFFFFF"/>
              </w:rPr>
              <w:t>nhibits the transport of these neurotransmitters, increasing the concentration of dopamine and NE in the synaptic cleft. This creates the classic stimulant effect within the central nervous system (CNS), primarily in the prefrontal cortex.</w:t>
            </w:r>
          </w:p>
        </w:tc>
      </w:tr>
      <w:tr w:rsidR="00D02993" w:rsidRPr="00D02993" w14:paraId="211201DC" w14:textId="77777777" w:rsidTr="00E76986">
        <w:trPr>
          <w:trHeight w:val="2338"/>
        </w:trPr>
        <w:tc>
          <w:tcPr>
            <w:tcW w:w="2337" w:type="dxa"/>
          </w:tcPr>
          <w:p w14:paraId="36069369" w14:textId="597ED08E" w:rsidR="00D02993" w:rsidRPr="00D02993" w:rsidRDefault="00D02993" w:rsidP="00E76986">
            <w:pPr>
              <w:rPr>
                <w:b/>
                <w:bCs/>
                <w:lang w:val="en-US"/>
              </w:rPr>
            </w:pPr>
            <w:r w:rsidRPr="00D02993">
              <w:rPr>
                <w:b/>
                <w:bCs/>
                <w:lang w:val="en-US"/>
              </w:rPr>
              <w:t xml:space="preserve">Administration: </w:t>
            </w:r>
          </w:p>
          <w:p w14:paraId="3551E801" w14:textId="15683325" w:rsidR="00D02993" w:rsidRPr="00D02993" w:rsidRDefault="00D02993" w:rsidP="00E76986">
            <w:pPr>
              <w:rPr>
                <w:lang w:val="en-US"/>
              </w:rPr>
            </w:pPr>
            <w:r w:rsidRPr="00D02993">
              <w:rPr>
                <w:lang w:val="en-US"/>
              </w:rPr>
              <w:t>Administer in the morning</w:t>
            </w:r>
          </w:p>
          <w:p w14:paraId="1A7A8D65" w14:textId="77777777" w:rsidR="00D02993" w:rsidRDefault="00D02993" w:rsidP="00E76986">
            <w:pPr>
              <w:rPr>
                <w:lang w:val="en-US"/>
              </w:rPr>
            </w:pPr>
          </w:p>
          <w:p w14:paraId="223E456F" w14:textId="0EBE455B" w:rsidR="00D02993" w:rsidRPr="00D02993" w:rsidRDefault="00D02993" w:rsidP="00E76986">
            <w:pPr>
              <w:rPr>
                <w:lang w:val="en-US"/>
              </w:rPr>
            </w:pPr>
            <w:r w:rsidRPr="00D02993">
              <w:rPr>
                <w:lang w:val="en-US"/>
              </w:rPr>
              <w:t>IR, SR and Extended release</w:t>
            </w:r>
          </w:p>
          <w:p w14:paraId="638FF87B" w14:textId="77777777" w:rsidR="00D02993" w:rsidRDefault="00D02993" w:rsidP="00E76986">
            <w:pPr>
              <w:rPr>
                <w:lang w:val="en-US"/>
              </w:rPr>
            </w:pPr>
          </w:p>
          <w:p w14:paraId="49FA6959" w14:textId="2CBCD6FA" w:rsidR="00D02993" w:rsidRPr="00D02993" w:rsidRDefault="00D02993" w:rsidP="00E76986">
            <w:pPr>
              <w:rPr>
                <w:lang w:val="en-US"/>
              </w:rPr>
            </w:pPr>
            <w:r w:rsidRPr="00D02993">
              <w:rPr>
                <w:lang w:val="en-US"/>
              </w:rPr>
              <w:t>Do not crush or chew</w:t>
            </w:r>
          </w:p>
          <w:p w14:paraId="26A853C0" w14:textId="77777777" w:rsidR="00D02993" w:rsidRPr="00D02993" w:rsidRDefault="00D02993" w:rsidP="00E76986">
            <w:pPr>
              <w:rPr>
                <w:lang w:val="en-US"/>
              </w:rPr>
            </w:pPr>
          </w:p>
          <w:p w14:paraId="2F7B0C80" w14:textId="00147AEF" w:rsidR="00D02993" w:rsidRPr="00D02993" w:rsidRDefault="00D02993" w:rsidP="00E76986">
            <w:pPr>
              <w:rPr>
                <w:lang w:val="en-US"/>
              </w:rPr>
            </w:pPr>
            <w:r w:rsidRPr="00D02993">
              <w:rPr>
                <w:lang w:val="en-US"/>
              </w:rPr>
              <w:t>Transdermal patch: apply on hip each morning, remove after 9 hours. Alternate hips each day</w:t>
            </w:r>
          </w:p>
          <w:p w14:paraId="1E9B519C" w14:textId="77777777" w:rsidR="00D02993" w:rsidRPr="00D02993" w:rsidRDefault="00D02993" w:rsidP="00E76986">
            <w:pPr>
              <w:rPr>
                <w:lang w:val="en-US"/>
              </w:rPr>
            </w:pPr>
          </w:p>
          <w:p w14:paraId="47968F9C" w14:textId="77777777" w:rsidR="00D02993" w:rsidRPr="00D02993" w:rsidRDefault="00D02993" w:rsidP="00E76986">
            <w:pPr>
              <w:rPr>
                <w:lang w:val="en-US"/>
              </w:rPr>
            </w:pPr>
            <w:r w:rsidRPr="00D02993">
              <w:rPr>
                <w:lang w:val="en-US"/>
              </w:rPr>
              <w:t>Safe for use over the age of 6</w:t>
            </w:r>
          </w:p>
          <w:p w14:paraId="76102783" w14:textId="77777777" w:rsidR="00D02993" w:rsidRPr="00D02993" w:rsidRDefault="00D02993" w:rsidP="00E76986">
            <w:pPr>
              <w:rPr>
                <w:lang w:val="en-US"/>
              </w:rPr>
            </w:pPr>
          </w:p>
        </w:tc>
        <w:tc>
          <w:tcPr>
            <w:tcW w:w="2337" w:type="dxa"/>
          </w:tcPr>
          <w:p w14:paraId="64C8D69B" w14:textId="77777777" w:rsidR="00D02993" w:rsidRPr="00D02993" w:rsidRDefault="00D02993" w:rsidP="00E76986">
            <w:pPr>
              <w:rPr>
                <w:lang w:val="en-US"/>
              </w:rPr>
            </w:pPr>
            <w:r w:rsidRPr="00D02993">
              <w:rPr>
                <w:b/>
                <w:bCs/>
                <w:lang w:val="en-US"/>
              </w:rPr>
              <w:t>Side Effects</w:t>
            </w:r>
            <w:r w:rsidRPr="00D02993">
              <w:rPr>
                <w:lang w:val="en-US"/>
              </w:rPr>
              <w:t>:</w:t>
            </w:r>
          </w:p>
          <w:p w14:paraId="07DDE87B" w14:textId="77777777" w:rsidR="00D02993" w:rsidRPr="00D02993" w:rsidRDefault="00D02993" w:rsidP="00E76986">
            <w:pPr>
              <w:rPr>
                <w:lang w:val="en-US"/>
              </w:rPr>
            </w:pPr>
            <w:r w:rsidRPr="00D02993">
              <w:rPr>
                <w:lang w:val="en-US"/>
              </w:rPr>
              <w:t xml:space="preserve">Common side effects: headache, insomnia, upper abdominal pain, decreased appetite, and anorexia. </w:t>
            </w:r>
          </w:p>
          <w:p w14:paraId="672C66EF" w14:textId="77777777" w:rsidR="00D02993" w:rsidRPr="00D02993" w:rsidRDefault="00D02993" w:rsidP="00E76986">
            <w:pPr>
              <w:rPr>
                <w:lang w:val="en-US"/>
              </w:rPr>
            </w:pPr>
          </w:p>
          <w:p w14:paraId="2D75DE21" w14:textId="77777777" w:rsidR="00D02993" w:rsidRPr="00D02993" w:rsidRDefault="00D02993" w:rsidP="00E76986">
            <w:pPr>
              <w:rPr>
                <w:lang w:val="en-US"/>
              </w:rPr>
            </w:pPr>
            <w:r w:rsidRPr="00D02993">
              <w:rPr>
                <w:lang w:val="en-US"/>
              </w:rPr>
              <w:t>May slow growth in pediatric clients</w:t>
            </w:r>
          </w:p>
          <w:p w14:paraId="1DD762C5" w14:textId="77777777" w:rsidR="00D02993" w:rsidRPr="00D02993" w:rsidRDefault="00D02993" w:rsidP="00E76986">
            <w:pPr>
              <w:rPr>
                <w:lang w:val="en-US"/>
              </w:rPr>
            </w:pPr>
          </w:p>
          <w:p w14:paraId="5F0D819E" w14:textId="77777777" w:rsidR="00D02993" w:rsidRDefault="00D02993" w:rsidP="00E76986">
            <w:pPr>
              <w:rPr>
                <w:lang w:val="en-US"/>
              </w:rPr>
            </w:pPr>
            <w:r w:rsidRPr="00D02993">
              <w:rPr>
                <w:lang w:val="en-US"/>
              </w:rPr>
              <w:t xml:space="preserve">Serious side effects: Cardiac and perfusion. </w:t>
            </w:r>
          </w:p>
          <w:p w14:paraId="3C5EC848" w14:textId="77777777" w:rsidR="00D02993" w:rsidRDefault="00D02993" w:rsidP="00E76986">
            <w:pPr>
              <w:rPr>
                <w:lang w:val="en-US"/>
              </w:rPr>
            </w:pPr>
          </w:p>
          <w:p w14:paraId="6AF4DDAE" w14:textId="24326523" w:rsidR="00D02993" w:rsidRPr="00D02993" w:rsidRDefault="00D02993" w:rsidP="00E76986">
            <w:pPr>
              <w:rPr>
                <w:lang w:val="en-US"/>
              </w:rPr>
            </w:pPr>
            <w:r w:rsidRPr="00D02993">
              <w:rPr>
                <w:lang w:val="en-US"/>
              </w:rPr>
              <w:t xml:space="preserve">Priapism: seek medical care </w:t>
            </w:r>
            <w:proofErr w:type="spellStart"/>
            <w:r w:rsidRPr="00D02993">
              <w:rPr>
                <w:lang w:val="en-US"/>
              </w:rPr>
              <w:t>immed</w:t>
            </w:r>
            <w:proofErr w:type="spellEnd"/>
            <w:r w:rsidRPr="00D02993">
              <w:rPr>
                <w:lang w:val="en-US"/>
              </w:rPr>
              <w:t>.</w:t>
            </w:r>
          </w:p>
          <w:p w14:paraId="0B539B3A" w14:textId="77777777" w:rsidR="00D02993" w:rsidRDefault="00D02993" w:rsidP="00E76986">
            <w:pPr>
              <w:rPr>
                <w:lang w:val="en-US"/>
              </w:rPr>
            </w:pPr>
          </w:p>
          <w:p w14:paraId="1ADA640F" w14:textId="77777777" w:rsidR="00D02993" w:rsidRDefault="00D02993" w:rsidP="00E76986">
            <w:pPr>
              <w:rPr>
                <w:lang w:val="en-US"/>
              </w:rPr>
            </w:pPr>
            <w:r w:rsidRPr="00D02993">
              <w:rPr>
                <w:lang w:val="en-US"/>
              </w:rPr>
              <w:t>Mania/ psychosis</w:t>
            </w:r>
          </w:p>
          <w:p w14:paraId="7C3B6F9B" w14:textId="2176C7EE" w:rsidR="00D02993" w:rsidRPr="00D02993" w:rsidRDefault="00D02993" w:rsidP="00E76986">
            <w:pPr>
              <w:rPr>
                <w:lang w:val="en-US"/>
              </w:rPr>
            </w:pPr>
          </w:p>
        </w:tc>
        <w:tc>
          <w:tcPr>
            <w:tcW w:w="2267" w:type="dxa"/>
          </w:tcPr>
          <w:p w14:paraId="0F357E14" w14:textId="77777777" w:rsidR="00D02993" w:rsidRPr="00D02993" w:rsidRDefault="00D02993" w:rsidP="00E76986">
            <w:pPr>
              <w:rPr>
                <w:lang w:val="en-US"/>
              </w:rPr>
            </w:pPr>
            <w:r w:rsidRPr="00D02993">
              <w:rPr>
                <w:b/>
                <w:bCs/>
                <w:lang w:val="en-US"/>
              </w:rPr>
              <w:t>Contraindications</w:t>
            </w:r>
            <w:r w:rsidRPr="00D02993">
              <w:rPr>
                <w:lang w:val="en-US"/>
              </w:rPr>
              <w:t xml:space="preserve">: </w:t>
            </w:r>
          </w:p>
          <w:p w14:paraId="123286FB" w14:textId="77777777" w:rsidR="00D02993" w:rsidRPr="00D02993" w:rsidRDefault="00D02993" w:rsidP="00E76986">
            <w:pPr>
              <w:rPr>
                <w:lang w:val="en-US"/>
              </w:rPr>
            </w:pPr>
            <w:r w:rsidRPr="00D02993">
              <w:rPr>
                <w:lang w:val="en-US"/>
              </w:rPr>
              <w:t>Do not take if MAOI within 14 days.</w:t>
            </w:r>
          </w:p>
          <w:p w14:paraId="37710A20" w14:textId="77777777" w:rsidR="00D02993" w:rsidRPr="00D02993" w:rsidRDefault="00D02993" w:rsidP="00E76986">
            <w:pPr>
              <w:rPr>
                <w:lang w:val="en-US"/>
              </w:rPr>
            </w:pPr>
          </w:p>
          <w:p w14:paraId="069E3749" w14:textId="77777777" w:rsidR="00D02993" w:rsidRPr="00D02993" w:rsidRDefault="00D02993" w:rsidP="00E76986">
            <w:pPr>
              <w:rPr>
                <w:lang w:val="en-US"/>
              </w:rPr>
            </w:pPr>
            <w:r w:rsidRPr="00D02993">
              <w:rPr>
                <w:lang w:val="en-US"/>
              </w:rPr>
              <w:t xml:space="preserve">Caution with warfarin, phenytoin, antidepressants </w:t>
            </w:r>
          </w:p>
          <w:p w14:paraId="7EBB8DD5" w14:textId="77777777" w:rsidR="00D02993" w:rsidRPr="00D02993" w:rsidRDefault="00D02993" w:rsidP="00E76986">
            <w:pPr>
              <w:rPr>
                <w:lang w:val="en-US"/>
              </w:rPr>
            </w:pPr>
          </w:p>
          <w:p w14:paraId="7C3D2BEC" w14:textId="77777777" w:rsidR="00D02993" w:rsidRPr="00D02993" w:rsidRDefault="00D02993" w:rsidP="00E76986">
            <w:pPr>
              <w:rPr>
                <w:lang w:val="en-US"/>
              </w:rPr>
            </w:pPr>
            <w:r w:rsidRPr="00D02993">
              <w:rPr>
                <w:lang w:val="en-US"/>
              </w:rPr>
              <w:t>Pregnancy and lactation</w:t>
            </w:r>
          </w:p>
          <w:p w14:paraId="51CAED33" w14:textId="77777777" w:rsidR="00D02993" w:rsidRPr="00D02993" w:rsidRDefault="00D02993" w:rsidP="00E76986">
            <w:pPr>
              <w:rPr>
                <w:lang w:val="en-US"/>
              </w:rPr>
            </w:pPr>
          </w:p>
          <w:p w14:paraId="70FAB017" w14:textId="77777777" w:rsidR="00D02993" w:rsidRPr="00D02993" w:rsidRDefault="00D02993" w:rsidP="00E76986">
            <w:pPr>
              <w:rPr>
                <w:lang w:val="en-US"/>
              </w:rPr>
            </w:pPr>
            <w:r w:rsidRPr="00D02993">
              <w:rPr>
                <w:lang w:val="en-US"/>
              </w:rPr>
              <w:t>Avoid with CVS disease or abnormalities</w:t>
            </w:r>
          </w:p>
          <w:p w14:paraId="5C425824" w14:textId="77777777" w:rsidR="00D02993" w:rsidRPr="00D02993" w:rsidRDefault="00D02993" w:rsidP="00E76986">
            <w:pPr>
              <w:rPr>
                <w:lang w:val="en-US"/>
              </w:rPr>
            </w:pPr>
          </w:p>
        </w:tc>
        <w:tc>
          <w:tcPr>
            <w:tcW w:w="2409" w:type="dxa"/>
          </w:tcPr>
          <w:p w14:paraId="783C4B98" w14:textId="77777777" w:rsidR="00D02993" w:rsidRPr="00D02993" w:rsidRDefault="00D02993" w:rsidP="00E76986">
            <w:pPr>
              <w:rPr>
                <w:lang w:val="en-US"/>
              </w:rPr>
            </w:pPr>
            <w:r w:rsidRPr="00D02993">
              <w:rPr>
                <w:b/>
                <w:bCs/>
                <w:lang w:val="en-US"/>
              </w:rPr>
              <w:t>Nursing Considerations</w:t>
            </w:r>
            <w:r w:rsidRPr="00D02993">
              <w:rPr>
                <w:lang w:val="en-US"/>
              </w:rPr>
              <w:t>:</w:t>
            </w:r>
          </w:p>
          <w:p w14:paraId="3C2D0359" w14:textId="77777777" w:rsidR="00D02993" w:rsidRPr="00D02993" w:rsidRDefault="00D02993" w:rsidP="00E76986">
            <w:pPr>
              <w:rPr>
                <w:lang w:val="en-US"/>
              </w:rPr>
            </w:pPr>
          </w:p>
          <w:p w14:paraId="25E65436" w14:textId="77777777" w:rsidR="00D02993" w:rsidRPr="00D02993" w:rsidRDefault="00D02993" w:rsidP="00E76986">
            <w:pPr>
              <w:rPr>
                <w:lang w:val="en-US"/>
              </w:rPr>
            </w:pPr>
            <w:r w:rsidRPr="00D02993">
              <w:rPr>
                <w:lang w:val="en-US"/>
              </w:rPr>
              <w:t>Controlled substance</w:t>
            </w:r>
          </w:p>
          <w:p w14:paraId="10395E28" w14:textId="77777777" w:rsidR="00D02993" w:rsidRPr="00D02993" w:rsidRDefault="00D02993" w:rsidP="00E76986">
            <w:pPr>
              <w:rPr>
                <w:lang w:val="en-US"/>
              </w:rPr>
            </w:pPr>
            <w:r w:rsidRPr="00D02993">
              <w:rPr>
                <w:lang w:val="en-US"/>
              </w:rPr>
              <w:t>Parent teaching</w:t>
            </w:r>
          </w:p>
          <w:p w14:paraId="03DDE366" w14:textId="77777777" w:rsidR="00D02993" w:rsidRPr="00D02993" w:rsidRDefault="00D02993" w:rsidP="00E76986">
            <w:pPr>
              <w:rPr>
                <w:lang w:val="en-US"/>
              </w:rPr>
            </w:pPr>
          </w:p>
          <w:p w14:paraId="726982BD" w14:textId="77777777" w:rsidR="00D02993" w:rsidRPr="00D02993" w:rsidRDefault="00D02993" w:rsidP="00E76986">
            <w:pPr>
              <w:rPr>
                <w:lang w:val="en-US"/>
              </w:rPr>
            </w:pPr>
            <w:r w:rsidRPr="00D02993">
              <w:rPr>
                <w:lang w:val="en-US"/>
              </w:rPr>
              <w:t>Clients should avoid alcohol</w:t>
            </w:r>
          </w:p>
          <w:p w14:paraId="54C97FD3" w14:textId="77777777" w:rsidR="00D02993" w:rsidRPr="00D02993" w:rsidRDefault="00D02993" w:rsidP="00E76986">
            <w:pPr>
              <w:rPr>
                <w:lang w:val="en-US"/>
              </w:rPr>
            </w:pPr>
          </w:p>
          <w:p w14:paraId="5139A289" w14:textId="16DF0C5D" w:rsidR="00D02993" w:rsidRPr="00D02993" w:rsidRDefault="00D02993" w:rsidP="00E76986">
            <w:pPr>
              <w:rPr>
                <w:lang w:val="en-US"/>
              </w:rPr>
            </w:pPr>
            <w:r w:rsidRPr="00D02993">
              <w:rPr>
                <w:lang w:val="en-US"/>
              </w:rPr>
              <w:t>Monitor growth/</w:t>
            </w:r>
            <w:proofErr w:type="spellStart"/>
            <w:r w:rsidRPr="00D02993">
              <w:rPr>
                <w:lang w:val="en-US"/>
              </w:rPr>
              <w:t>wt</w:t>
            </w:r>
            <w:proofErr w:type="spellEnd"/>
            <w:r w:rsidRPr="00D02993">
              <w:rPr>
                <w:lang w:val="en-US"/>
              </w:rPr>
              <w:t xml:space="preserve"> in children</w:t>
            </w:r>
          </w:p>
          <w:p w14:paraId="2B1D364A" w14:textId="77777777" w:rsidR="00D02993" w:rsidRPr="00D02993" w:rsidRDefault="00D02993" w:rsidP="00E76986">
            <w:pPr>
              <w:rPr>
                <w:lang w:val="en-US"/>
              </w:rPr>
            </w:pPr>
          </w:p>
          <w:p w14:paraId="1AB88A87" w14:textId="77777777" w:rsidR="00D02993" w:rsidRPr="00D02993" w:rsidRDefault="00D02993" w:rsidP="00E76986">
            <w:pPr>
              <w:rPr>
                <w:lang w:val="en-US"/>
              </w:rPr>
            </w:pPr>
            <w:r w:rsidRPr="00D02993">
              <w:rPr>
                <w:lang w:val="en-US"/>
              </w:rPr>
              <w:t>High misuse potential: monitor</w:t>
            </w:r>
          </w:p>
          <w:p w14:paraId="34A7281F" w14:textId="05EA142B" w:rsidR="00D02993" w:rsidRPr="00D02993" w:rsidRDefault="00D02993" w:rsidP="00E76986">
            <w:pPr>
              <w:rPr>
                <w:lang w:val="en-US"/>
              </w:rPr>
            </w:pPr>
            <w:r w:rsidRPr="00D02993">
              <w:rPr>
                <w:lang w:val="en-US"/>
              </w:rPr>
              <w:t xml:space="preserve"> Monitor BP and HR</w:t>
            </w:r>
          </w:p>
          <w:p w14:paraId="0BBB0741" w14:textId="77777777" w:rsidR="00D02993" w:rsidRPr="00D02993" w:rsidRDefault="00D02993" w:rsidP="00E76986">
            <w:pPr>
              <w:rPr>
                <w:lang w:val="en-US"/>
              </w:rPr>
            </w:pPr>
          </w:p>
        </w:tc>
      </w:tr>
    </w:tbl>
    <w:p w14:paraId="4E906410" w14:textId="77777777" w:rsidR="00D02993" w:rsidRDefault="00D02993"/>
    <w:p w14:paraId="1EE02DDD" w14:textId="77777777" w:rsidR="00D02993" w:rsidRPr="00D02993" w:rsidRDefault="00D02993"/>
    <w:sectPr w:rsidR="00D02993" w:rsidRPr="00D029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93"/>
    <w:rsid w:val="00261E4D"/>
    <w:rsid w:val="00464599"/>
    <w:rsid w:val="006D2C2C"/>
    <w:rsid w:val="00734E8C"/>
    <w:rsid w:val="0096662A"/>
    <w:rsid w:val="009F730C"/>
    <w:rsid w:val="00D02993"/>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1F53A1"/>
  <w15:chartTrackingRefBased/>
  <w15:docId w15:val="{D2B10EB8-A24C-544A-BC81-32B8BE84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93"/>
    <w:pPr>
      <w:spacing w:line="259" w:lineRule="auto"/>
    </w:pPr>
    <w:rPr>
      <w:sz w:val="22"/>
      <w:szCs w:val="22"/>
    </w:rPr>
  </w:style>
  <w:style w:type="paragraph" w:styleId="Heading1">
    <w:name w:val="heading 1"/>
    <w:basedOn w:val="Normal"/>
    <w:next w:val="Normal"/>
    <w:link w:val="Heading1Char"/>
    <w:uiPriority w:val="9"/>
    <w:qFormat/>
    <w:rsid w:val="00D0299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99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99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99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0299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0299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0299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0299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0299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993"/>
    <w:rPr>
      <w:rFonts w:eastAsiaTheme="majorEastAsia" w:cstheme="majorBidi"/>
      <w:color w:val="272727" w:themeColor="text1" w:themeTint="D8"/>
    </w:rPr>
  </w:style>
  <w:style w:type="paragraph" w:styleId="Title">
    <w:name w:val="Title"/>
    <w:basedOn w:val="Normal"/>
    <w:next w:val="Normal"/>
    <w:link w:val="TitleChar"/>
    <w:uiPriority w:val="10"/>
    <w:qFormat/>
    <w:rsid w:val="00D02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99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99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02993"/>
    <w:rPr>
      <w:i/>
      <w:iCs/>
      <w:color w:val="404040" w:themeColor="text1" w:themeTint="BF"/>
    </w:rPr>
  </w:style>
  <w:style w:type="paragraph" w:styleId="ListParagraph">
    <w:name w:val="List Paragraph"/>
    <w:basedOn w:val="Normal"/>
    <w:uiPriority w:val="34"/>
    <w:qFormat/>
    <w:rsid w:val="00D02993"/>
    <w:pPr>
      <w:spacing w:line="278" w:lineRule="auto"/>
      <w:ind w:left="720"/>
      <w:contextualSpacing/>
    </w:pPr>
    <w:rPr>
      <w:sz w:val="24"/>
      <w:szCs w:val="24"/>
    </w:rPr>
  </w:style>
  <w:style w:type="character" w:styleId="IntenseEmphasis">
    <w:name w:val="Intense Emphasis"/>
    <w:basedOn w:val="DefaultParagraphFont"/>
    <w:uiPriority w:val="21"/>
    <w:qFormat/>
    <w:rsid w:val="00D02993"/>
    <w:rPr>
      <w:i/>
      <w:iCs/>
      <w:color w:val="0F4761" w:themeColor="accent1" w:themeShade="BF"/>
    </w:rPr>
  </w:style>
  <w:style w:type="paragraph" w:styleId="IntenseQuote">
    <w:name w:val="Intense Quote"/>
    <w:basedOn w:val="Normal"/>
    <w:next w:val="Normal"/>
    <w:link w:val="IntenseQuoteChar"/>
    <w:uiPriority w:val="30"/>
    <w:qFormat/>
    <w:rsid w:val="00D029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02993"/>
    <w:rPr>
      <w:i/>
      <w:iCs/>
      <w:color w:val="0F4761" w:themeColor="accent1" w:themeShade="BF"/>
    </w:rPr>
  </w:style>
  <w:style w:type="character" w:styleId="IntenseReference">
    <w:name w:val="Intense Reference"/>
    <w:basedOn w:val="DefaultParagraphFont"/>
    <w:uiPriority w:val="32"/>
    <w:qFormat/>
    <w:rsid w:val="00D02993"/>
    <w:rPr>
      <w:b/>
      <w:bCs/>
      <w:smallCaps/>
      <w:color w:val="0F4761" w:themeColor="accent1" w:themeShade="BF"/>
      <w:spacing w:val="5"/>
    </w:rPr>
  </w:style>
  <w:style w:type="table" w:styleId="TableGrid">
    <w:name w:val="Table Grid"/>
    <w:basedOn w:val="TableNormal"/>
    <w:uiPriority w:val="39"/>
    <w:rsid w:val="00D0299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194</Words>
  <Characters>1203</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2026-01-28T22:12:00Z</dcterms:created>
  <dcterms:modified xsi:type="dcterms:W3CDTF">2026-01-28T22:22:00Z</dcterms:modified>
</cp:coreProperties>
</file>