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ED36" w14:textId="7CDC4C8F" w:rsidR="00734E8C" w:rsidRPr="00742A86" w:rsidRDefault="00742A86" w:rsidP="00742A86">
      <w:pPr>
        <w:pStyle w:val="Heading3"/>
        <w:rPr>
          <w:rFonts w:eastAsia="Times New Roman"/>
          <w:b/>
          <w:bCs/>
          <w:color w:val="000000" w:themeColor="text1"/>
          <w:sz w:val="22"/>
          <w:szCs w:val="22"/>
          <w:lang w:eastAsia="en-CA"/>
        </w:rPr>
      </w:pPr>
      <w:r w:rsidRPr="00742A86">
        <w:rPr>
          <w:rFonts w:eastAsia="Times New Roman"/>
          <w:b/>
          <w:bCs/>
          <w:color w:val="000000" w:themeColor="text1"/>
          <w:sz w:val="22"/>
          <w:szCs w:val="22"/>
          <w:lang w:eastAsia="en-CA"/>
        </w:rPr>
        <w:t>Levetiracetam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42A86" w:rsidRPr="00742A86" w14:paraId="1CBF04F2" w14:textId="77777777" w:rsidTr="00E76986">
        <w:trPr>
          <w:trHeight w:val="1103"/>
        </w:trPr>
        <w:tc>
          <w:tcPr>
            <w:tcW w:w="4674" w:type="dxa"/>
            <w:gridSpan w:val="2"/>
          </w:tcPr>
          <w:p w14:paraId="64F29CBD" w14:textId="77777777" w:rsidR="00742A86" w:rsidRDefault="00742A86" w:rsidP="00742A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Class:</w:t>
            </w: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 xml:space="preserve"> Anticonvulsants</w:t>
            </w:r>
          </w:p>
          <w:p w14:paraId="5D224BAF" w14:textId="77777777" w:rsidR="00742A86" w:rsidRDefault="00742A86" w:rsidP="00742A8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01E71B44" w14:textId="4A73F246" w:rsidR="00742A86" w:rsidRPr="00742A86" w:rsidRDefault="00742A86" w:rsidP="00742A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Prototype:</w:t>
            </w: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 xml:space="preserve"> </w:t>
            </w:r>
            <w:r w:rsidRPr="00742A86">
              <w:rPr>
                <w:rFonts w:cstheme="minorHAnsi"/>
                <w:color w:val="000000" w:themeColor="text1"/>
                <w:lang w:eastAsia="en-CA"/>
              </w:rPr>
              <w:t>Levetiracetam</w:t>
            </w:r>
          </w:p>
        </w:tc>
        <w:tc>
          <w:tcPr>
            <w:tcW w:w="4676" w:type="dxa"/>
            <w:gridSpan w:val="2"/>
          </w:tcPr>
          <w:p w14:paraId="1A0DC158" w14:textId="77777777" w:rsidR="00742A86" w:rsidRPr="00742A86" w:rsidRDefault="00742A86" w:rsidP="00742A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Indications:</w:t>
            </w: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 xml:space="preserve"> </w:t>
            </w:r>
            <w:r w:rsidRPr="00742A86">
              <w:rPr>
                <w:rFonts w:eastAsia="Times New Roman" w:cstheme="minorHAnsi"/>
                <w:color w:val="000000" w:themeColor="text1"/>
                <w:kern w:val="0"/>
                <w:lang w:eastAsia="en-CA"/>
                <w14:ligatures w14:val="none"/>
              </w:rPr>
              <w:t>adjunctive therapy in the treatment of seizures, including partial-onset, myoclonic and tonic-clonic seizures.</w:t>
            </w:r>
          </w:p>
        </w:tc>
      </w:tr>
      <w:tr w:rsidR="00742A86" w:rsidRPr="00742A86" w14:paraId="588B166D" w14:textId="77777777" w:rsidTr="00E76986">
        <w:tc>
          <w:tcPr>
            <w:tcW w:w="9350" w:type="dxa"/>
            <w:gridSpan w:val="4"/>
          </w:tcPr>
          <w:p w14:paraId="672D7654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Mechanism of Action:</w:t>
            </w:r>
            <w:r w:rsidRPr="00742A86">
              <w:rPr>
                <w:rFonts w:eastAsia="Times New Roman" w:cstheme="minorHAnsi"/>
                <w:color w:val="000000" w:themeColor="text1"/>
                <w:kern w:val="0"/>
                <w:lang w:eastAsia="en-CA"/>
                <w14:ligatures w14:val="none"/>
              </w:rPr>
              <w:t xml:space="preserve"> The exact mechanism of action is unknown. This medication may interfere with sodium, calcium, potassium, or GABA transmission.</w:t>
            </w:r>
          </w:p>
          <w:p w14:paraId="56215A1E" w14:textId="77777777" w:rsidR="00742A86" w:rsidRPr="00742A86" w:rsidRDefault="00742A86" w:rsidP="00E76986">
            <w:pPr>
              <w:shd w:val="clear" w:color="auto" w:fill="FFFFFF"/>
              <w:rPr>
                <w:rFonts w:eastAsia="Times New Roman" w:cs="Times New Roman"/>
                <w:color w:val="000000" w:themeColor="text1"/>
                <w:kern w:val="0"/>
                <w:lang w:val="en-US" w:eastAsia="en-CA"/>
                <w14:ligatures w14:val="none"/>
              </w:rPr>
            </w:pPr>
          </w:p>
        </w:tc>
      </w:tr>
      <w:tr w:rsidR="00742A86" w:rsidRPr="00742A86" w14:paraId="1DD99CD7" w14:textId="77777777" w:rsidTr="00E76986">
        <w:trPr>
          <w:trHeight w:val="699"/>
        </w:trPr>
        <w:tc>
          <w:tcPr>
            <w:tcW w:w="2337" w:type="dxa"/>
          </w:tcPr>
          <w:p w14:paraId="6AE83228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Administration:</w:t>
            </w:r>
          </w:p>
          <w:p w14:paraId="68D90B36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Oral, IV</w:t>
            </w:r>
          </w:p>
          <w:p w14:paraId="698FF8FF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 xml:space="preserve"> </w:t>
            </w:r>
          </w:p>
          <w:p w14:paraId="53503B6F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Taper dose: do not stop abruptly or seizures may occur</w:t>
            </w:r>
          </w:p>
          <w:p w14:paraId="4804E146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7E430CFF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6D569948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2E4348BB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</w:tc>
        <w:tc>
          <w:tcPr>
            <w:tcW w:w="2337" w:type="dxa"/>
          </w:tcPr>
          <w:p w14:paraId="664A0539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Side Effects:</w:t>
            </w:r>
          </w:p>
          <w:p w14:paraId="40B74D00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Behavioral/mood changes</w:t>
            </w:r>
          </w:p>
          <w:p w14:paraId="5311C50D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Somnolence, fatigue, and irritability</w:t>
            </w:r>
          </w:p>
          <w:p w14:paraId="6BC16B92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Coordination difficulties</w:t>
            </w:r>
          </w:p>
          <w:p w14:paraId="7648B6CC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5E99AC90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SAFETY: Serious/fatal effects Anaphylaxis or angioedema, dermatologic reactions, TEN, SJS, Hematopoietic complications</w:t>
            </w:r>
          </w:p>
        </w:tc>
        <w:tc>
          <w:tcPr>
            <w:tcW w:w="2338" w:type="dxa"/>
          </w:tcPr>
          <w:p w14:paraId="487E0546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 xml:space="preserve">Contraindications: </w:t>
            </w:r>
          </w:p>
          <w:p w14:paraId="259D3D07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Clients who are suicidal</w:t>
            </w:r>
          </w:p>
          <w:p w14:paraId="5250CD74" w14:textId="77777777" w:rsid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1C3AECEB" w14:textId="6F6D61E0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Clients with altered hematology</w:t>
            </w:r>
          </w:p>
        </w:tc>
        <w:tc>
          <w:tcPr>
            <w:tcW w:w="2338" w:type="dxa"/>
          </w:tcPr>
          <w:p w14:paraId="1B9FAFC4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b/>
                <w:bCs/>
                <w:color w:val="000000" w:themeColor="text1"/>
                <w:kern w:val="0"/>
                <w:lang w:val="en-US" w:eastAsia="en-CA"/>
                <w14:ligatures w14:val="none"/>
              </w:rPr>
              <w:t>Nursing Considerations:</w:t>
            </w:r>
          </w:p>
          <w:p w14:paraId="5826B51D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Monitor plasma levels for pregnant women</w:t>
            </w:r>
          </w:p>
          <w:p w14:paraId="5FFEFB3D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Use cautiously if renal impairment</w:t>
            </w:r>
          </w:p>
          <w:p w14:paraId="53F94DF7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Safe for children 12 and older</w:t>
            </w:r>
          </w:p>
          <w:p w14:paraId="1E30F1C5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56B7E1C4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monitor carefully for suicidality during medication therapy.</w:t>
            </w:r>
          </w:p>
          <w:p w14:paraId="675CF5D1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</w:p>
          <w:p w14:paraId="744F360E" w14:textId="77777777" w:rsidR="00742A86" w:rsidRPr="00742A86" w:rsidRDefault="00742A86" w:rsidP="00E76986">
            <w:pPr>
              <w:shd w:val="clear" w:color="auto" w:fill="FFFFFF"/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</w:pPr>
            <w:r w:rsidRPr="00742A86">
              <w:rPr>
                <w:rFonts w:eastAsia="Times New Roman" w:cstheme="minorHAnsi"/>
                <w:color w:val="000000" w:themeColor="text1"/>
                <w:kern w:val="0"/>
                <w:lang w:val="en-US" w:eastAsia="en-CA"/>
                <w14:ligatures w14:val="none"/>
              </w:rPr>
              <w:t>Monitor for safety mobility and falls risk</w:t>
            </w:r>
          </w:p>
        </w:tc>
      </w:tr>
    </w:tbl>
    <w:p w14:paraId="7DB2B6BC" w14:textId="77777777" w:rsidR="00742A86" w:rsidRDefault="00742A86"/>
    <w:p w14:paraId="36C8CD81" w14:textId="77777777" w:rsidR="00AF65A7" w:rsidRDefault="00AF65A7"/>
    <w:sectPr w:rsidR="00AF65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86"/>
    <w:rsid w:val="00261E4D"/>
    <w:rsid w:val="00464599"/>
    <w:rsid w:val="006D2C2C"/>
    <w:rsid w:val="00734E8C"/>
    <w:rsid w:val="00742A86"/>
    <w:rsid w:val="0096662A"/>
    <w:rsid w:val="009F730C"/>
    <w:rsid w:val="00AF65A7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06E4"/>
  <w15:chartTrackingRefBased/>
  <w15:docId w15:val="{B7981B01-3077-C74B-B4A6-16201A0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8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A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A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A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4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4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2A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858</Characters>
  <Application>Microsoft Office Word</Application>
  <DocSecurity>0</DocSecurity>
  <Lines>61</Lines>
  <Paragraphs>25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2026-01-29T23:29:00Z</dcterms:created>
  <dcterms:modified xsi:type="dcterms:W3CDTF">2026-01-29T23:32:00Z</dcterms:modified>
</cp:coreProperties>
</file>