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BE38" w14:textId="5B75A259" w:rsidR="00734E8C" w:rsidRPr="00675F5F" w:rsidRDefault="00675F5F" w:rsidP="00675F5F">
      <w:pPr>
        <w:spacing w:after="0"/>
        <w:rPr>
          <w:b/>
          <w:bCs/>
          <w:sz w:val="20"/>
          <w:szCs w:val="20"/>
          <w:lang w:val="en-US"/>
        </w:rPr>
      </w:pPr>
      <w:r w:rsidRPr="00675F5F">
        <w:rPr>
          <w:b/>
          <w:bCs/>
          <w:sz w:val="20"/>
          <w:szCs w:val="20"/>
          <w:lang w:val="en-US"/>
        </w:rPr>
        <w:t>Fluticasone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75F5F" w:rsidRPr="00675F5F" w14:paraId="45A6A472" w14:textId="77777777" w:rsidTr="008C029F">
        <w:trPr>
          <w:trHeight w:val="1103"/>
        </w:trPr>
        <w:tc>
          <w:tcPr>
            <w:tcW w:w="4674" w:type="dxa"/>
            <w:gridSpan w:val="2"/>
          </w:tcPr>
          <w:p w14:paraId="3CEDD945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  <w:r w:rsidRPr="00675F5F">
              <w:rPr>
                <w:b/>
                <w:bCs/>
                <w:sz w:val="20"/>
                <w:szCs w:val="20"/>
                <w:lang w:val="en-US"/>
              </w:rPr>
              <w:t>Class:</w:t>
            </w:r>
            <w:r w:rsidRPr="00675F5F">
              <w:rPr>
                <w:sz w:val="20"/>
                <w:szCs w:val="20"/>
                <w:lang w:val="en-US"/>
              </w:rPr>
              <w:t xml:space="preserve"> Corticosteroids</w:t>
            </w:r>
          </w:p>
          <w:p w14:paraId="0BB4FAF8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</w:p>
          <w:p w14:paraId="390CB9D6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  <w:r w:rsidRPr="00675F5F">
              <w:rPr>
                <w:b/>
                <w:bCs/>
                <w:sz w:val="20"/>
                <w:szCs w:val="20"/>
                <w:lang w:val="en-US"/>
              </w:rPr>
              <w:t>Prototype:</w:t>
            </w:r>
            <w:r w:rsidRPr="00675F5F">
              <w:rPr>
                <w:sz w:val="20"/>
                <w:szCs w:val="20"/>
                <w:lang w:val="en-US"/>
              </w:rPr>
              <w:t xml:space="preserve"> Fluticasone (Flovent)</w:t>
            </w:r>
          </w:p>
          <w:p w14:paraId="384213FE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</w:p>
          <w:p w14:paraId="5A05DB87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2DC3A53B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  <w:r w:rsidRPr="00675F5F">
              <w:rPr>
                <w:b/>
                <w:bCs/>
                <w:sz w:val="20"/>
                <w:szCs w:val="20"/>
                <w:lang w:val="en-US"/>
              </w:rPr>
              <w:t>Indications:</w:t>
            </w:r>
            <w:r w:rsidRPr="00675F5F">
              <w:rPr>
                <w:sz w:val="20"/>
                <w:szCs w:val="20"/>
                <w:lang w:val="en-US"/>
              </w:rPr>
              <w:t xml:space="preserve"> used for management of nasal symptoms of perennial non-allergic rhinitis, control of asthma symptoms.  Reduces inflammation in bronchioles. </w:t>
            </w:r>
          </w:p>
        </w:tc>
      </w:tr>
      <w:tr w:rsidR="00675F5F" w:rsidRPr="00675F5F" w14:paraId="488C2CD9" w14:textId="77777777" w:rsidTr="008C029F">
        <w:tc>
          <w:tcPr>
            <w:tcW w:w="9350" w:type="dxa"/>
            <w:gridSpan w:val="4"/>
          </w:tcPr>
          <w:p w14:paraId="24FF855A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  <w:r w:rsidRPr="00675F5F">
              <w:rPr>
                <w:b/>
                <w:bCs/>
                <w:sz w:val="20"/>
                <w:szCs w:val="20"/>
                <w:lang w:val="en-US"/>
              </w:rPr>
              <w:t>Mechanism of Action:</w:t>
            </w:r>
            <w:r w:rsidRPr="00675F5F">
              <w:rPr>
                <w:sz w:val="20"/>
                <w:szCs w:val="20"/>
                <w:lang w:val="en-US"/>
              </w:rPr>
              <w:t xml:space="preserve"> Local anti-inflammatory and immune modifier. Inhaled corticosteroids work directly at the cellular level within the bronchioles reversing capillary permeability and lysosomal stabilization to reduce inflammation.</w:t>
            </w:r>
            <w:r w:rsidRPr="00675F5F">
              <w:rPr>
                <w:sz w:val="20"/>
                <w:szCs w:val="20"/>
              </w:rPr>
              <w:t xml:space="preserve"> </w:t>
            </w:r>
            <w:r w:rsidRPr="00675F5F">
              <w:rPr>
                <w:sz w:val="20"/>
                <w:szCs w:val="20"/>
                <w:lang w:val="en-US"/>
              </w:rPr>
              <w:t>The nasal spray is used for allergies, and the oral inhaler is used for long-term control of asthma.</w:t>
            </w:r>
          </w:p>
          <w:p w14:paraId="79ABA2A9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</w:p>
        </w:tc>
      </w:tr>
      <w:tr w:rsidR="00675F5F" w:rsidRPr="00675F5F" w14:paraId="4F59951F" w14:textId="77777777" w:rsidTr="008C029F">
        <w:trPr>
          <w:trHeight w:val="2338"/>
        </w:trPr>
        <w:tc>
          <w:tcPr>
            <w:tcW w:w="2337" w:type="dxa"/>
          </w:tcPr>
          <w:p w14:paraId="44A1599F" w14:textId="77777777" w:rsidR="00675F5F" w:rsidRPr="00675F5F" w:rsidRDefault="00675F5F" w:rsidP="008C02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75F5F">
              <w:rPr>
                <w:b/>
                <w:bCs/>
                <w:sz w:val="20"/>
                <w:szCs w:val="20"/>
                <w:lang w:val="en-US"/>
              </w:rPr>
              <w:t xml:space="preserve">Administration: </w:t>
            </w:r>
          </w:p>
          <w:p w14:paraId="7CF80BF7" w14:textId="77777777" w:rsidR="00675F5F" w:rsidRPr="00675F5F" w:rsidRDefault="00675F5F" w:rsidP="008C029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75F5F">
              <w:rPr>
                <w:rFonts w:cstheme="minorHAnsi"/>
                <w:sz w:val="20"/>
                <w:szCs w:val="20"/>
                <w:lang w:val="en-US"/>
              </w:rPr>
              <w:t>Inhaler, nasal spray</w:t>
            </w:r>
          </w:p>
          <w:p w14:paraId="52EFEF73" w14:textId="77777777" w:rsidR="00675F5F" w:rsidRPr="00675F5F" w:rsidRDefault="00675F5F" w:rsidP="008C029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75F5F">
              <w:rPr>
                <w:rFonts w:cstheme="minorHAnsi"/>
                <w:sz w:val="20"/>
                <w:szCs w:val="20"/>
                <w:lang w:val="en-US"/>
              </w:rPr>
              <w:t>Oral inhaler BID.</w:t>
            </w:r>
          </w:p>
          <w:p w14:paraId="59C1FE32" w14:textId="77777777" w:rsidR="00675F5F" w:rsidRPr="00675F5F" w:rsidRDefault="00675F5F" w:rsidP="008C029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75F5F">
              <w:rPr>
                <w:rFonts w:cstheme="minorHAnsi"/>
                <w:sz w:val="20"/>
                <w:szCs w:val="20"/>
                <w:lang w:val="en-US"/>
              </w:rPr>
              <w:t>Take at same time each day</w:t>
            </w:r>
          </w:p>
          <w:p w14:paraId="0241A1D4" w14:textId="77777777" w:rsidR="00675F5F" w:rsidRPr="00675F5F" w:rsidRDefault="00675F5F" w:rsidP="008C029F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AE9F771" w14:textId="77777777" w:rsidR="00675F5F" w:rsidRPr="00675F5F" w:rsidRDefault="00675F5F" w:rsidP="008C029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75F5F">
              <w:rPr>
                <w:rFonts w:cstheme="minorHAnsi"/>
                <w:sz w:val="20"/>
                <w:szCs w:val="20"/>
                <w:lang w:val="en-US"/>
              </w:rPr>
              <w:t xml:space="preserve">Rinse mouth before and after use to prevent candidiasis. </w:t>
            </w:r>
          </w:p>
          <w:p w14:paraId="6CC67115" w14:textId="77777777" w:rsidR="00675F5F" w:rsidRPr="00675F5F" w:rsidRDefault="00675F5F" w:rsidP="008C029F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3ED2AF7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  <w:r w:rsidRPr="00675F5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Fluticasone is also used in a combination product with salmeterol.</w:t>
            </w:r>
          </w:p>
          <w:p w14:paraId="0C9614A2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</w:tcPr>
          <w:p w14:paraId="74A24897" w14:textId="77777777" w:rsidR="00675F5F" w:rsidRPr="00675F5F" w:rsidRDefault="00675F5F" w:rsidP="008C02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75F5F">
              <w:rPr>
                <w:b/>
                <w:bCs/>
                <w:sz w:val="20"/>
                <w:szCs w:val="20"/>
                <w:lang w:val="en-US"/>
              </w:rPr>
              <w:t>Side Effects:</w:t>
            </w:r>
          </w:p>
          <w:p w14:paraId="10C7BC79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  <w:r w:rsidRPr="00675F5F">
              <w:rPr>
                <w:sz w:val="20"/>
                <w:szCs w:val="20"/>
                <w:lang w:val="en-US"/>
              </w:rPr>
              <w:t xml:space="preserve">Oral candidiasis – rinse mouth after using inhaler.  </w:t>
            </w:r>
          </w:p>
          <w:p w14:paraId="59962BEC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  <w:r w:rsidRPr="00675F5F">
              <w:rPr>
                <w:sz w:val="20"/>
                <w:szCs w:val="20"/>
                <w:lang w:val="en-US"/>
              </w:rPr>
              <w:t>Hoarseness</w:t>
            </w:r>
          </w:p>
          <w:p w14:paraId="711FDEE3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  <w:r w:rsidRPr="00675F5F">
              <w:rPr>
                <w:sz w:val="20"/>
                <w:szCs w:val="20"/>
                <w:lang w:val="en-US"/>
              </w:rPr>
              <w:t>Dry mouth</w:t>
            </w:r>
          </w:p>
          <w:p w14:paraId="6EB6A8B7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  <w:r w:rsidRPr="00675F5F">
              <w:rPr>
                <w:sz w:val="20"/>
                <w:szCs w:val="20"/>
                <w:lang w:val="en-US"/>
              </w:rPr>
              <w:t>Cough</w:t>
            </w:r>
          </w:p>
          <w:p w14:paraId="7073773A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  <w:r w:rsidRPr="00675F5F">
              <w:rPr>
                <w:sz w:val="20"/>
                <w:szCs w:val="20"/>
                <w:lang w:val="en-US"/>
              </w:rPr>
              <w:t>Sore throat</w:t>
            </w:r>
          </w:p>
          <w:p w14:paraId="18B1EAED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</w:p>
          <w:p w14:paraId="7C8E4D80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  <w:r w:rsidRPr="00675F5F">
              <w:rPr>
                <w:sz w:val="20"/>
                <w:szCs w:val="20"/>
                <w:lang w:val="en-US"/>
              </w:rPr>
              <w:t xml:space="preserve">May mask oral infections </w:t>
            </w:r>
          </w:p>
        </w:tc>
        <w:tc>
          <w:tcPr>
            <w:tcW w:w="2338" w:type="dxa"/>
          </w:tcPr>
          <w:p w14:paraId="7A402BAC" w14:textId="77777777" w:rsidR="00675F5F" w:rsidRPr="00675F5F" w:rsidRDefault="00675F5F" w:rsidP="008C02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75F5F">
              <w:rPr>
                <w:b/>
                <w:bCs/>
                <w:sz w:val="20"/>
                <w:szCs w:val="20"/>
                <w:lang w:val="en-US"/>
              </w:rPr>
              <w:t xml:space="preserve">Contraindications: </w:t>
            </w:r>
          </w:p>
          <w:p w14:paraId="0AD84F36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</w:p>
          <w:p w14:paraId="2763897C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  <w:r w:rsidRPr="00675F5F">
              <w:rPr>
                <w:sz w:val="20"/>
                <w:szCs w:val="20"/>
                <w:lang w:val="en-US"/>
              </w:rPr>
              <w:t xml:space="preserve">Do not use if allergy to milk protein/lactose </w:t>
            </w:r>
          </w:p>
          <w:p w14:paraId="309E1CBC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</w:p>
          <w:p w14:paraId="3CC12519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  <w:r w:rsidRPr="00675F5F">
              <w:rPr>
                <w:sz w:val="20"/>
                <w:szCs w:val="20"/>
                <w:lang w:val="en-US"/>
              </w:rPr>
              <w:t xml:space="preserve">Caution with older adults. </w:t>
            </w:r>
          </w:p>
          <w:p w14:paraId="58B910E3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  <w:r w:rsidRPr="00675F5F">
              <w:rPr>
                <w:sz w:val="20"/>
                <w:szCs w:val="20"/>
                <w:lang w:val="en-US"/>
              </w:rPr>
              <w:t>At high doses or long-term use: may cause growth suppression in children</w:t>
            </w:r>
          </w:p>
          <w:p w14:paraId="4EC9C861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</w:p>
          <w:p w14:paraId="2E190B01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</w:tcPr>
          <w:p w14:paraId="11C7F012" w14:textId="77777777" w:rsidR="00675F5F" w:rsidRPr="00675F5F" w:rsidRDefault="00675F5F" w:rsidP="008C02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75F5F">
              <w:rPr>
                <w:b/>
                <w:bCs/>
                <w:sz w:val="20"/>
                <w:szCs w:val="20"/>
                <w:lang w:val="en-US"/>
              </w:rPr>
              <w:t>Nursing Considerations:</w:t>
            </w:r>
          </w:p>
          <w:p w14:paraId="3E5199B0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  <w:r w:rsidRPr="00675F5F">
              <w:rPr>
                <w:sz w:val="20"/>
                <w:szCs w:val="20"/>
                <w:lang w:val="en-US"/>
              </w:rPr>
              <w:t>Can take up to two weeks to feel benefit. Used as a controller med, not for acute bronchospasm.</w:t>
            </w:r>
          </w:p>
          <w:p w14:paraId="5B81C2C9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</w:p>
          <w:p w14:paraId="1C1A8EA9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  <w:r w:rsidRPr="00675F5F">
              <w:rPr>
                <w:sz w:val="20"/>
                <w:szCs w:val="20"/>
                <w:lang w:val="en-US"/>
              </w:rPr>
              <w:t>Use spacer to improve delivery of med to lungs.</w:t>
            </w:r>
          </w:p>
          <w:p w14:paraId="41DFA39D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</w:p>
          <w:p w14:paraId="3B949D0B" w14:textId="77777777" w:rsidR="00675F5F" w:rsidRPr="00675F5F" w:rsidRDefault="00675F5F" w:rsidP="008C029F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D7497BC" w14:textId="77777777" w:rsidR="00675F5F" w:rsidRDefault="00675F5F"/>
    <w:p w14:paraId="6D8785E0" w14:textId="77777777" w:rsidR="00675F5F" w:rsidRDefault="00675F5F"/>
    <w:sectPr w:rsidR="00675F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5F"/>
    <w:rsid w:val="00464599"/>
    <w:rsid w:val="00675F5F"/>
    <w:rsid w:val="006D2C2C"/>
    <w:rsid w:val="00734E8C"/>
    <w:rsid w:val="0096662A"/>
    <w:rsid w:val="009F730C"/>
    <w:rsid w:val="00F25F3E"/>
    <w:rsid w:val="00F44E5F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62A17B"/>
  <w15:chartTrackingRefBased/>
  <w15:docId w15:val="{63012328-0EF3-C746-9339-76575A2C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5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F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F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F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F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F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F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F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F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F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F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F5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F5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75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F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5F5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1087</Characters>
  <Application>Microsoft Office Word</Application>
  <DocSecurity>0</DocSecurity>
  <Lines>72</Lines>
  <Paragraphs>28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2026-03-05T22:38:00Z</dcterms:created>
  <dcterms:modified xsi:type="dcterms:W3CDTF">2026-03-05T22:40:00Z</dcterms:modified>
</cp:coreProperties>
</file>