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CC25C" w14:textId="531CE120" w:rsidR="00734E8C" w:rsidRPr="009214B8" w:rsidRDefault="009214B8" w:rsidP="009214B8">
      <w:pPr>
        <w:spacing w:after="0"/>
        <w:rPr>
          <w:b/>
          <w:bCs/>
          <w:lang w:val="en-US"/>
        </w:rPr>
      </w:pPr>
      <w:r w:rsidRPr="009214B8">
        <w:rPr>
          <w:b/>
          <w:bCs/>
          <w:lang w:val="en-US"/>
        </w:rPr>
        <w:t>Digoxin Medication Card</w:t>
      </w:r>
    </w:p>
    <w:tbl>
      <w:tblPr>
        <w:tblStyle w:val="TableGrid"/>
        <w:tblW w:w="0" w:type="auto"/>
        <w:tblLook w:val="04A0" w:firstRow="1" w:lastRow="0" w:firstColumn="1" w:lastColumn="0" w:noHBand="0" w:noVBand="1"/>
      </w:tblPr>
      <w:tblGrid>
        <w:gridCol w:w="2337"/>
        <w:gridCol w:w="2337"/>
        <w:gridCol w:w="2338"/>
        <w:gridCol w:w="2338"/>
      </w:tblGrid>
      <w:tr w:rsidR="009214B8" w14:paraId="10A6648E" w14:textId="77777777" w:rsidTr="00F24F94">
        <w:trPr>
          <w:trHeight w:val="1103"/>
        </w:trPr>
        <w:tc>
          <w:tcPr>
            <w:tcW w:w="4674" w:type="dxa"/>
            <w:gridSpan w:val="2"/>
          </w:tcPr>
          <w:p w14:paraId="45A31383" w14:textId="77777777" w:rsidR="009214B8" w:rsidRDefault="009214B8" w:rsidP="00F24F94">
            <w:pPr>
              <w:rPr>
                <w:lang w:val="en-US"/>
              </w:rPr>
            </w:pPr>
            <w:r w:rsidRPr="009214B8">
              <w:rPr>
                <w:b/>
                <w:bCs/>
                <w:lang w:val="en-US"/>
              </w:rPr>
              <w:t>Class:</w:t>
            </w:r>
            <w:r>
              <w:rPr>
                <w:lang w:val="en-US"/>
              </w:rPr>
              <w:t xml:space="preserve"> Cardiac Glycoside</w:t>
            </w:r>
          </w:p>
          <w:p w14:paraId="1C3052B2" w14:textId="77777777" w:rsidR="009214B8" w:rsidRDefault="009214B8" w:rsidP="00F24F94">
            <w:pPr>
              <w:rPr>
                <w:lang w:val="en-US"/>
              </w:rPr>
            </w:pPr>
          </w:p>
          <w:p w14:paraId="04E142CC" w14:textId="77777777" w:rsidR="009214B8" w:rsidRDefault="009214B8" w:rsidP="00F24F94">
            <w:pPr>
              <w:rPr>
                <w:lang w:val="en-US"/>
              </w:rPr>
            </w:pPr>
            <w:r w:rsidRPr="009214B8">
              <w:rPr>
                <w:b/>
                <w:bCs/>
                <w:lang w:val="en-US"/>
              </w:rPr>
              <w:t>Prototype:</w:t>
            </w:r>
            <w:r>
              <w:rPr>
                <w:lang w:val="en-US"/>
              </w:rPr>
              <w:t xml:space="preserve"> Digoxin </w:t>
            </w:r>
          </w:p>
          <w:p w14:paraId="50CC2E33" w14:textId="77777777" w:rsidR="009214B8" w:rsidRDefault="009214B8" w:rsidP="00F24F94">
            <w:pPr>
              <w:rPr>
                <w:lang w:val="en-US"/>
              </w:rPr>
            </w:pPr>
          </w:p>
          <w:p w14:paraId="44154D2B" w14:textId="77777777" w:rsidR="009214B8" w:rsidRDefault="009214B8" w:rsidP="00F24F94">
            <w:pPr>
              <w:rPr>
                <w:lang w:val="en-US"/>
              </w:rPr>
            </w:pPr>
          </w:p>
        </w:tc>
        <w:tc>
          <w:tcPr>
            <w:tcW w:w="4676" w:type="dxa"/>
            <w:gridSpan w:val="2"/>
          </w:tcPr>
          <w:p w14:paraId="003E4105" w14:textId="77777777" w:rsidR="009214B8" w:rsidRPr="00F0604A" w:rsidRDefault="009214B8" w:rsidP="00F24F94">
            <w:pPr>
              <w:rPr>
                <w:lang w:val="en-US"/>
              </w:rPr>
            </w:pPr>
            <w:r w:rsidRPr="009214B8">
              <w:rPr>
                <w:b/>
                <w:bCs/>
                <w:lang w:val="en-US"/>
              </w:rPr>
              <w:t>Indications:</w:t>
            </w:r>
            <w:r>
              <w:t xml:space="preserve"> To treat h</w:t>
            </w:r>
            <w:r w:rsidRPr="00F0604A">
              <w:rPr>
                <w:lang w:val="en-US"/>
              </w:rPr>
              <w:t>eart failure</w:t>
            </w:r>
            <w:r>
              <w:rPr>
                <w:lang w:val="en-US"/>
              </w:rPr>
              <w:t xml:space="preserve"> and chronic atrial fibrillation. Second line option if other therapy not successful. </w:t>
            </w:r>
          </w:p>
          <w:p w14:paraId="6F50FA7C" w14:textId="77777777" w:rsidR="009214B8" w:rsidRDefault="009214B8" w:rsidP="00F24F94">
            <w:pPr>
              <w:rPr>
                <w:lang w:val="en-US"/>
              </w:rPr>
            </w:pPr>
          </w:p>
        </w:tc>
      </w:tr>
      <w:tr w:rsidR="009214B8" w14:paraId="13A4F9AC" w14:textId="77777777" w:rsidTr="00F24F94">
        <w:tc>
          <w:tcPr>
            <w:tcW w:w="9350" w:type="dxa"/>
            <w:gridSpan w:val="4"/>
          </w:tcPr>
          <w:p w14:paraId="5A6C66E3" w14:textId="77777777" w:rsidR="009214B8" w:rsidRDefault="009214B8" w:rsidP="00F24F94">
            <w:pPr>
              <w:rPr>
                <w:lang w:val="en-US"/>
              </w:rPr>
            </w:pPr>
            <w:r w:rsidRPr="009214B8">
              <w:rPr>
                <w:b/>
                <w:bCs/>
                <w:lang w:val="en-US"/>
              </w:rPr>
              <w:t>Mechanism of Action:</w:t>
            </w:r>
            <w:r>
              <w:rPr>
                <w:lang w:val="en-US"/>
              </w:rPr>
              <w:t xml:space="preserve"> </w:t>
            </w:r>
            <w:r w:rsidRPr="00F0604A">
              <w:rPr>
                <w:lang w:val="en-US"/>
              </w:rPr>
              <w:t>Digoxin works by inhibiting the sodium and potassium pump, which results in an increase in intracellular sodium and an influx of calcium into cardiac cells, causing the cardiac muscle fibers to contract more efficiently and increase cardiac output</w:t>
            </w:r>
            <w:r>
              <w:rPr>
                <w:lang w:val="en-US"/>
              </w:rPr>
              <w:t>.</w:t>
            </w:r>
          </w:p>
          <w:p w14:paraId="0BB4015D" w14:textId="77777777" w:rsidR="009214B8" w:rsidRDefault="009214B8" w:rsidP="00F24F94">
            <w:pPr>
              <w:rPr>
                <w:lang w:val="en-US"/>
              </w:rPr>
            </w:pPr>
          </w:p>
        </w:tc>
      </w:tr>
      <w:tr w:rsidR="009214B8" w14:paraId="507AA118" w14:textId="77777777" w:rsidTr="00F24F94">
        <w:trPr>
          <w:trHeight w:val="2338"/>
        </w:trPr>
        <w:tc>
          <w:tcPr>
            <w:tcW w:w="2337" w:type="dxa"/>
          </w:tcPr>
          <w:p w14:paraId="2C5BD21A" w14:textId="080D36B0" w:rsidR="009214B8" w:rsidRPr="009214B8" w:rsidRDefault="009214B8" w:rsidP="00F24F94">
            <w:pPr>
              <w:rPr>
                <w:b/>
                <w:bCs/>
                <w:lang w:val="en-US"/>
              </w:rPr>
            </w:pPr>
            <w:r w:rsidRPr="009214B8">
              <w:rPr>
                <w:b/>
                <w:bCs/>
                <w:lang w:val="en-US"/>
              </w:rPr>
              <w:t xml:space="preserve">Administration: </w:t>
            </w:r>
          </w:p>
          <w:p w14:paraId="59980310" w14:textId="77777777" w:rsidR="009214B8" w:rsidRPr="00F0604A" w:rsidRDefault="009214B8" w:rsidP="00F24F94">
            <w:pPr>
              <w:rPr>
                <w:lang w:val="en-US"/>
              </w:rPr>
            </w:pPr>
            <w:r>
              <w:rPr>
                <w:lang w:val="en-US"/>
              </w:rPr>
              <w:t xml:space="preserve">Oral: </w:t>
            </w:r>
            <w:r w:rsidRPr="00F0604A">
              <w:rPr>
                <w:lang w:val="en-US"/>
              </w:rPr>
              <w:t>without food once a day in the morning</w:t>
            </w:r>
          </w:p>
          <w:p w14:paraId="21192FCC" w14:textId="77777777" w:rsidR="009214B8" w:rsidRDefault="009214B8" w:rsidP="00F24F94">
            <w:pPr>
              <w:rPr>
                <w:lang w:val="en-US"/>
              </w:rPr>
            </w:pPr>
          </w:p>
          <w:p w14:paraId="37BA71ED" w14:textId="7DF7A8F1" w:rsidR="009214B8" w:rsidRPr="00F0604A" w:rsidRDefault="009214B8" w:rsidP="00F24F94">
            <w:pPr>
              <w:rPr>
                <w:lang w:val="en-US"/>
              </w:rPr>
            </w:pPr>
            <w:r w:rsidRPr="00F0604A">
              <w:rPr>
                <w:lang w:val="en-US"/>
              </w:rPr>
              <w:t>Take within 2hrs pre or post eating high fiber foods for best absorption</w:t>
            </w:r>
          </w:p>
          <w:p w14:paraId="0C4FFBA2" w14:textId="77777777" w:rsidR="009214B8" w:rsidRDefault="009214B8" w:rsidP="00F24F94">
            <w:pPr>
              <w:rPr>
                <w:lang w:val="en-US"/>
              </w:rPr>
            </w:pPr>
          </w:p>
          <w:p w14:paraId="06B16745" w14:textId="5E4B5D87" w:rsidR="009214B8" w:rsidRDefault="009214B8" w:rsidP="00F24F94">
            <w:pPr>
              <w:rPr>
                <w:lang w:val="en-US"/>
              </w:rPr>
            </w:pPr>
            <w:r>
              <w:rPr>
                <w:lang w:val="en-US"/>
              </w:rPr>
              <w:t>Do not t</w:t>
            </w:r>
            <w:r w:rsidRPr="00F0604A">
              <w:rPr>
                <w:lang w:val="en-US"/>
              </w:rPr>
              <w:t xml:space="preserve">ake </w:t>
            </w:r>
            <w:r>
              <w:rPr>
                <w:lang w:val="en-US"/>
              </w:rPr>
              <w:t>a</w:t>
            </w:r>
            <w:r w:rsidRPr="00F0604A">
              <w:rPr>
                <w:lang w:val="en-US"/>
              </w:rPr>
              <w:t xml:space="preserve">ntacids, </w:t>
            </w:r>
            <w:r>
              <w:rPr>
                <w:lang w:val="en-US"/>
              </w:rPr>
              <w:t xml:space="preserve">or </w:t>
            </w:r>
            <w:r w:rsidRPr="00F0604A">
              <w:rPr>
                <w:lang w:val="en-US"/>
              </w:rPr>
              <w:t xml:space="preserve">metoclopramide </w:t>
            </w:r>
            <w:r>
              <w:rPr>
                <w:lang w:val="en-US"/>
              </w:rPr>
              <w:t xml:space="preserve">within 2 hours </w:t>
            </w:r>
          </w:p>
          <w:p w14:paraId="5ED37132" w14:textId="77777777" w:rsidR="009214B8" w:rsidRDefault="009214B8" w:rsidP="00F24F94">
            <w:pPr>
              <w:rPr>
                <w:lang w:val="en-US"/>
              </w:rPr>
            </w:pPr>
          </w:p>
          <w:p w14:paraId="70AA6EAB" w14:textId="77777777" w:rsidR="009214B8" w:rsidRDefault="009214B8" w:rsidP="00F24F94">
            <w:pPr>
              <w:rPr>
                <w:lang w:val="en-US"/>
              </w:rPr>
            </w:pPr>
          </w:p>
          <w:p w14:paraId="5564785A" w14:textId="77777777" w:rsidR="009214B8" w:rsidRDefault="009214B8" w:rsidP="00F24F94">
            <w:pPr>
              <w:rPr>
                <w:lang w:val="en-US"/>
              </w:rPr>
            </w:pPr>
          </w:p>
        </w:tc>
        <w:tc>
          <w:tcPr>
            <w:tcW w:w="2337" w:type="dxa"/>
          </w:tcPr>
          <w:p w14:paraId="0A69F3A2" w14:textId="77777777" w:rsidR="009214B8" w:rsidRPr="009214B8" w:rsidRDefault="009214B8" w:rsidP="00F24F94">
            <w:pPr>
              <w:rPr>
                <w:b/>
                <w:bCs/>
                <w:lang w:val="en-US"/>
              </w:rPr>
            </w:pPr>
            <w:r w:rsidRPr="009214B8">
              <w:rPr>
                <w:b/>
                <w:bCs/>
                <w:lang w:val="en-US"/>
              </w:rPr>
              <w:t>Side Effects:</w:t>
            </w:r>
          </w:p>
          <w:p w14:paraId="1DB446A6" w14:textId="1F90A0E2" w:rsidR="009214B8" w:rsidRPr="00F0604A" w:rsidRDefault="009214B8" w:rsidP="00F24F94">
            <w:pPr>
              <w:rPr>
                <w:lang w:val="en-US"/>
              </w:rPr>
            </w:pPr>
            <w:r w:rsidRPr="00F0604A">
              <w:rPr>
                <w:lang w:val="en-US"/>
              </w:rPr>
              <w:t xml:space="preserve">Digoxin </w:t>
            </w:r>
            <w:r w:rsidRPr="00F0604A">
              <w:rPr>
                <w:lang w:val="en-US"/>
              </w:rPr>
              <w:t>toxicity:</w:t>
            </w:r>
            <w:r w:rsidRPr="00F0604A">
              <w:rPr>
                <w:lang w:val="en-US"/>
              </w:rPr>
              <w:t xml:space="preserve"> early signs include nausea, vomiting, and diarrhea</w:t>
            </w:r>
          </w:p>
          <w:p w14:paraId="7029D3E9" w14:textId="77777777" w:rsidR="009214B8" w:rsidRDefault="009214B8" w:rsidP="00F24F94">
            <w:pPr>
              <w:rPr>
                <w:lang w:val="en-US"/>
              </w:rPr>
            </w:pPr>
          </w:p>
          <w:p w14:paraId="28071C02" w14:textId="7375256E" w:rsidR="009214B8" w:rsidRPr="00F0604A" w:rsidRDefault="009214B8" w:rsidP="00F24F94">
            <w:pPr>
              <w:rPr>
                <w:lang w:val="en-US"/>
              </w:rPr>
            </w:pPr>
            <w:r w:rsidRPr="00F0604A">
              <w:rPr>
                <w:lang w:val="en-US"/>
              </w:rPr>
              <w:t>Bradycardia and arrhythmias</w:t>
            </w:r>
          </w:p>
          <w:p w14:paraId="747C5FC5" w14:textId="77777777" w:rsidR="009214B8" w:rsidRDefault="009214B8" w:rsidP="00F24F94">
            <w:pPr>
              <w:rPr>
                <w:lang w:val="en-US"/>
              </w:rPr>
            </w:pPr>
          </w:p>
          <w:p w14:paraId="33CA3A11" w14:textId="0FB38184" w:rsidR="009214B8" w:rsidRPr="00F0604A" w:rsidRDefault="009214B8" w:rsidP="00F24F94">
            <w:pPr>
              <w:rPr>
                <w:lang w:val="en-US"/>
              </w:rPr>
            </w:pPr>
            <w:r w:rsidRPr="00F0604A">
              <w:rPr>
                <w:lang w:val="en-US"/>
              </w:rPr>
              <w:t>Headache, weakness, dizziness, and mental changes such as anxiety or hallucinations</w:t>
            </w:r>
          </w:p>
          <w:p w14:paraId="702260A2" w14:textId="77777777" w:rsidR="009214B8" w:rsidRDefault="009214B8" w:rsidP="00F24F94">
            <w:pPr>
              <w:rPr>
                <w:lang w:val="en-US"/>
              </w:rPr>
            </w:pPr>
          </w:p>
          <w:p w14:paraId="71E22B79" w14:textId="77777777" w:rsidR="009214B8" w:rsidRPr="00F0604A" w:rsidRDefault="009214B8" w:rsidP="00F24F94">
            <w:pPr>
              <w:rPr>
                <w:lang w:val="en-US"/>
              </w:rPr>
            </w:pPr>
            <w:r w:rsidRPr="00F0604A">
              <w:rPr>
                <w:lang w:val="en-US"/>
              </w:rPr>
              <w:t>Gynecomastia (with prolonged use)</w:t>
            </w:r>
          </w:p>
          <w:p w14:paraId="0CAAAE22" w14:textId="77777777" w:rsidR="009214B8" w:rsidRDefault="009214B8" w:rsidP="00F24F94">
            <w:pPr>
              <w:rPr>
                <w:lang w:val="en-US"/>
              </w:rPr>
            </w:pPr>
            <w:r w:rsidRPr="00F0604A">
              <w:rPr>
                <w:lang w:val="en-US"/>
              </w:rPr>
              <w:tab/>
            </w:r>
          </w:p>
          <w:p w14:paraId="6FC5BA86" w14:textId="77777777" w:rsidR="009214B8" w:rsidRDefault="009214B8" w:rsidP="00F24F94">
            <w:pPr>
              <w:rPr>
                <w:lang w:val="en-US"/>
              </w:rPr>
            </w:pPr>
            <w:r w:rsidRPr="00F0604A">
              <w:rPr>
                <w:lang w:val="en-US"/>
              </w:rPr>
              <w:t xml:space="preserve">SAFETY: </w:t>
            </w:r>
            <w:r>
              <w:rPr>
                <w:lang w:val="en-US"/>
              </w:rPr>
              <w:t>Older adults, renal insufficiency or low body weight clients have i</w:t>
            </w:r>
            <w:r w:rsidRPr="00F0604A">
              <w:rPr>
                <w:lang w:val="en-US"/>
              </w:rPr>
              <w:t>ncreased risk of toxicity-</w:t>
            </w:r>
          </w:p>
          <w:p w14:paraId="5FBF34AA" w14:textId="77777777" w:rsidR="009214B8" w:rsidRDefault="009214B8" w:rsidP="00F24F94">
            <w:pPr>
              <w:rPr>
                <w:lang w:val="en-US"/>
              </w:rPr>
            </w:pPr>
          </w:p>
          <w:p w14:paraId="0AE6F47E" w14:textId="0F91999F" w:rsidR="009214B8" w:rsidRDefault="009214B8" w:rsidP="00F24F94">
            <w:pPr>
              <w:rPr>
                <w:lang w:val="en-US"/>
              </w:rPr>
            </w:pPr>
            <w:r w:rsidRPr="00F0604A">
              <w:rPr>
                <w:lang w:val="en-US"/>
              </w:rPr>
              <w:t>Digibind is used to treat toxicity</w:t>
            </w:r>
          </w:p>
        </w:tc>
        <w:tc>
          <w:tcPr>
            <w:tcW w:w="2338" w:type="dxa"/>
          </w:tcPr>
          <w:p w14:paraId="593E4AB5" w14:textId="77777777" w:rsidR="009214B8" w:rsidRPr="009214B8" w:rsidRDefault="009214B8" w:rsidP="00F24F94">
            <w:pPr>
              <w:rPr>
                <w:b/>
                <w:bCs/>
                <w:lang w:val="en-US"/>
              </w:rPr>
            </w:pPr>
            <w:r w:rsidRPr="009214B8">
              <w:rPr>
                <w:b/>
                <w:bCs/>
                <w:lang w:val="en-US"/>
              </w:rPr>
              <w:t xml:space="preserve">Contraindications: </w:t>
            </w:r>
          </w:p>
          <w:p w14:paraId="45C4DFCA" w14:textId="77777777" w:rsidR="009214B8" w:rsidRDefault="009214B8" w:rsidP="00F24F94">
            <w:pPr>
              <w:rPr>
                <w:lang w:val="en-US"/>
              </w:rPr>
            </w:pPr>
            <w:r w:rsidRPr="00F0604A">
              <w:rPr>
                <w:lang w:val="en-US"/>
              </w:rPr>
              <w:t>Kidney or hyper or hypo thyroid problems</w:t>
            </w:r>
          </w:p>
          <w:p w14:paraId="2CCA20A6" w14:textId="77777777" w:rsidR="009214B8" w:rsidRDefault="009214B8" w:rsidP="00F24F94">
            <w:pPr>
              <w:rPr>
                <w:lang w:val="en-US"/>
              </w:rPr>
            </w:pPr>
          </w:p>
          <w:p w14:paraId="61535918" w14:textId="77777777" w:rsidR="009214B8" w:rsidRPr="00F0604A" w:rsidRDefault="009214B8" w:rsidP="00F24F94">
            <w:pPr>
              <w:rPr>
                <w:lang w:val="en-US"/>
              </w:rPr>
            </w:pPr>
            <w:r w:rsidRPr="00F0604A">
              <w:rPr>
                <w:lang w:val="en-US"/>
              </w:rPr>
              <w:t>Avoid alcohol or driving machinery if this drug causes dizziness for the person</w:t>
            </w:r>
          </w:p>
          <w:p w14:paraId="4AE89A20" w14:textId="77777777" w:rsidR="009214B8" w:rsidRDefault="009214B8" w:rsidP="00F24F94">
            <w:pPr>
              <w:rPr>
                <w:lang w:val="en-US"/>
              </w:rPr>
            </w:pPr>
          </w:p>
          <w:p w14:paraId="558DD0EC" w14:textId="455437AC" w:rsidR="009214B8" w:rsidRPr="00F0604A" w:rsidRDefault="009214B8" w:rsidP="00F24F94">
            <w:pPr>
              <w:rPr>
                <w:lang w:val="en-US"/>
              </w:rPr>
            </w:pPr>
            <w:r w:rsidRPr="00F0604A">
              <w:rPr>
                <w:lang w:val="en-US"/>
              </w:rPr>
              <w:t>Pregnancy-</w:t>
            </w:r>
            <w:r>
              <w:rPr>
                <w:lang w:val="en-US"/>
              </w:rPr>
              <w:t xml:space="preserve">may take while pregnant, consult </w:t>
            </w:r>
            <w:r w:rsidRPr="00F0604A">
              <w:rPr>
                <w:lang w:val="en-US"/>
              </w:rPr>
              <w:t>MD</w:t>
            </w:r>
            <w:r>
              <w:rPr>
                <w:lang w:val="en-US"/>
              </w:rPr>
              <w:t xml:space="preserve">. </w:t>
            </w:r>
            <w:r w:rsidRPr="00F0604A">
              <w:rPr>
                <w:lang w:val="en-US"/>
              </w:rPr>
              <w:t xml:space="preserve"> </w:t>
            </w:r>
          </w:p>
          <w:p w14:paraId="7EA929CA" w14:textId="77777777" w:rsidR="009214B8" w:rsidRDefault="009214B8" w:rsidP="00F24F94">
            <w:pPr>
              <w:rPr>
                <w:lang w:val="en-US"/>
              </w:rPr>
            </w:pPr>
          </w:p>
          <w:p w14:paraId="3C94DA75" w14:textId="586D92E4" w:rsidR="009214B8" w:rsidRDefault="009214B8" w:rsidP="00F24F94">
            <w:pPr>
              <w:rPr>
                <w:lang w:val="en-US"/>
              </w:rPr>
            </w:pPr>
            <w:r>
              <w:rPr>
                <w:lang w:val="en-US"/>
              </w:rPr>
              <w:t xml:space="preserve">Minimal levels in breastmilk; consult with MD. </w:t>
            </w:r>
          </w:p>
          <w:p w14:paraId="358D837C" w14:textId="77777777" w:rsidR="009214B8" w:rsidRPr="00F0604A" w:rsidRDefault="009214B8" w:rsidP="00F24F94">
            <w:pPr>
              <w:rPr>
                <w:lang w:val="en-US"/>
              </w:rPr>
            </w:pPr>
          </w:p>
          <w:p w14:paraId="10FA02BE" w14:textId="77777777" w:rsidR="009214B8" w:rsidRDefault="009214B8" w:rsidP="00F24F94">
            <w:pPr>
              <w:rPr>
                <w:lang w:val="en-US"/>
              </w:rPr>
            </w:pPr>
            <w:r w:rsidRPr="00F0604A">
              <w:rPr>
                <w:lang w:val="en-US"/>
              </w:rPr>
              <w:t>St Johns Wort, antifungals and some antibiotics can affect the removal of digoxin in the body</w:t>
            </w:r>
          </w:p>
        </w:tc>
        <w:tc>
          <w:tcPr>
            <w:tcW w:w="2338" w:type="dxa"/>
          </w:tcPr>
          <w:p w14:paraId="6247EC91" w14:textId="77777777" w:rsidR="009214B8" w:rsidRPr="009214B8" w:rsidRDefault="009214B8" w:rsidP="00F24F94">
            <w:pPr>
              <w:rPr>
                <w:b/>
                <w:bCs/>
                <w:lang w:val="en-US"/>
              </w:rPr>
            </w:pPr>
            <w:r w:rsidRPr="009214B8">
              <w:rPr>
                <w:b/>
                <w:bCs/>
                <w:lang w:val="en-US"/>
              </w:rPr>
              <w:t>Nursing Considerations:</w:t>
            </w:r>
          </w:p>
          <w:p w14:paraId="7C4B63B1" w14:textId="77777777" w:rsidR="009214B8" w:rsidRPr="00F0604A" w:rsidRDefault="009214B8" w:rsidP="00F24F94">
            <w:pPr>
              <w:rPr>
                <w:lang w:val="en-US"/>
              </w:rPr>
            </w:pPr>
            <w:r w:rsidRPr="00F0604A">
              <w:rPr>
                <w:lang w:val="en-US"/>
              </w:rPr>
              <w:t>Apical pulse check for full 1 minute before administration</w:t>
            </w:r>
          </w:p>
          <w:p w14:paraId="733C8884" w14:textId="77777777" w:rsidR="009214B8" w:rsidRPr="00F0604A" w:rsidRDefault="009214B8" w:rsidP="00F24F94">
            <w:pPr>
              <w:rPr>
                <w:lang w:val="en-US"/>
              </w:rPr>
            </w:pPr>
            <w:r w:rsidRPr="00F0604A">
              <w:rPr>
                <w:lang w:val="en-US"/>
              </w:rPr>
              <w:t>Monitor serum digoxin levels for toxicity</w:t>
            </w:r>
            <w:r>
              <w:rPr>
                <w:lang w:val="en-US"/>
              </w:rPr>
              <w:t>, se</w:t>
            </w:r>
            <w:r w:rsidRPr="00F0604A">
              <w:rPr>
                <w:lang w:val="en-US"/>
              </w:rPr>
              <w:t xml:space="preserve"> potassium levels</w:t>
            </w:r>
          </w:p>
          <w:p w14:paraId="744E1C85" w14:textId="77777777" w:rsidR="009214B8" w:rsidRDefault="009214B8" w:rsidP="00F24F94">
            <w:pPr>
              <w:rPr>
                <w:lang w:val="en-US"/>
              </w:rPr>
            </w:pPr>
          </w:p>
          <w:p w14:paraId="73A92229" w14:textId="77777777" w:rsidR="009214B8" w:rsidRPr="00F0604A" w:rsidRDefault="009214B8" w:rsidP="00F24F94">
            <w:pPr>
              <w:rPr>
                <w:lang w:val="en-US"/>
              </w:rPr>
            </w:pPr>
            <w:r w:rsidRPr="00F0604A">
              <w:rPr>
                <w:lang w:val="en-US"/>
              </w:rPr>
              <w:t>Monitor</w:t>
            </w:r>
            <w:r>
              <w:rPr>
                <w:lang w:val="en-US"/>
              </w:rPr>
              <w:t xml:space="preserve"> BP, periodic ECG.</w:t>
            </w:r>
          </w:p>
          <w:p w14:paraId="508C0C8E" w14:textId="77777777" w:rsidR="009214B8" w:rsidRDefault="009214B8" w:rsidP="00F24F94">
            <w:pPr>
              <w:rPr>
                <w:lang w:val="en-US"/>
              </w:rPr>
            </w:pPr>
          </w:p>
          <w:p w14:paraId="3A9064DF" w14:textId="3AB518FA" w:rsidR="009214B8" w:rsidRDefault="009214B8" w:rsidP="00F24F94">
            <w:pPr>
              <w:rPr>
                <w:lang w:val="en-US"/>
              </w:rPr>
            </w:pPr>
            <w:r>
              <w:rPr>
                <w:lang w:val="en-US"/>
              </w:rPr>
              <w:t xml:space="preserve">Monitor for S &amp; S </w:t>
            </w:r>
            <w:r w:rsidRPr="00F0604A">
              <w:rPr>
                <w:lang w:val="en-US"/>
              </w:rPr>
              <w:t>of heart failure and overload including urine output and respiratory assessment</w:t>
            </w:r>
          </w:p>
        </w:tc>
      </w:tr>
    </w:tbl>
    <w:p w14:paraId="062E9F54" w14:textId="77777777" w:rsidR="009214B8" w:rsidRDefault="009214B8"/>
    <w:p w14:paraId="3C115779" w14:textId="77777777" w:rsidR="009214B8" w:rsidRDefault="009214B8"/>
    <w:p w14:paraId="6E02A7BA" w14:textId="77777777" w:rsidR="009214B8" w:rsidRDefault="009214B8"/>
    <w:sectPr w:rsidR="009214B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4B8"/>
    <w:rsid w:val="00464599"/>
    <w:rsid w:val="006D2C2C"/>
    <w:rsid w:val="00734E8C"/>
    <w:rsid w:val="008D01D5"/>
    <w:rsid w:val="009214B8"/>
    <w:rsid w:val="0096662A"/>
    <w:rsid w:val="009F730C"/>
    <w:rsid w:val="00F25F3E"/>
    <w:rsid w:val="00F82D3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37C86"/>
  <w15:chartTrackingRefBased/>
  <w15:docId w15:val="{580C73A5-70F1-CE4E-A9AE-4C45690FB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4B8"/>
    <w:pPr>
      <w:spacing w:line="259" w:lineRule="auto"/>
    </w:pPr>
    <w:rPr>
      <w:sz w:val="22"/>
      <w:szCs w:val="22"/>
    </w:rPr>
  </w:style>
  <w:style w:type="paragraph" w:styleId="Heading1">
    <w:name w:val="heading 1"/>
    <w:basedOn w:val="Normal"/>
    <w:next w:val="Normal"/>
    <w:link w:val="Heading1Char"/>
    <w:uiPriority w:val="9"/>
    <w:qFormat/>
    <w:rsid w:val="009214B8"/>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14B8"/>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214B8"/>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14B8"/>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9214B8"/>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9214B8"/>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9214B8"/>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9214B8"/>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9214B8"/>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14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14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214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14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14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14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14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14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14B8"/>
    <w:rPr>
      <w:rFonts w:eastAsiaTheme="majorEastAsia" w:cstheme="majorBidi"/>
      <w:color w:val="272727" w:themeColor="text1" w:themeTint="D8"/>
    </w:rPr>
  </w:style>
  <w:style w:type="paragraph" w:styleId="Title">
    <w:name w:val="Title"/>
    <w:basedOn w:val="Normal"/>
    <w:next w:val="Normal"/>
    <w:link w:val="TitleChar"/>
    <w:uiPriority w:val="10"/>
    <w:qFormat/>
    <w:rsid w:val="009214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14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14B8"/>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14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14B8"/>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9214B8"/>
    <w:rPr>
      <w:i/>
      <w:iCs/>
      <w:color w:val="404040" w:themeColor="text1" w:themeTint="BF"/>
    </w:rPr>
  </w:style>
  <w:style w:type="paragraph" w:styleId="ListParagraph">
    <w:name w:val="List Paragraph"/>
    <w:basedOn w:val="Normal"/>
    <w:uiPriority w:val="34"/>
    <w:qFormat/>
    <w:rsid w:val="009214B8"/>
    <w:pPr>
      <w:spacing w:line="278" w:lineRule="auto"/>
      <w:ind w:left="720"/>
      <w:contextualSpacing/>
    </w:pPr>
    <w:rPr>
      <w:sz w:val="24"/>
      <w:szCs w:val="24"/>
    </w:rPr>
  </w:style>
  <w:style w:type="character" w:styleId="IntenseEmphasis">
    <w:name w:val="Intense Emphasis"/>
    <w:basedOn w:val="DefaultParagraphFont"/>
    <w:uiPriority w:val="21"/>
    <w:qFormat/>
    <w:rsid w:val="009214B8"/>
    <w:rPr>
      <w:i/>
      <w:iCs/>
      <w:color w:val="0F4761" w:themeColor="accent1" w:themeShade="BF"/>
    </w:rPr>
  </w:style>
  <w:style w:type="paragraph" w:styleId="IntenseQuote">
    <w:name w:val="Intense Quote"/>
    <w:basedOn w:val="Normal"/>
    <w:next w:val="Normal"/>
    <w:link w:val="IntenseQuoteChar"/>
    <w:uiPriority w:val="30"/>
    <w:qFormat/>
    <w:rsid w:val="009214B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9214B8"/>
    <w:rPr>
      <w:i/>
      <w:iCs/>
      <w:color w:val="0F4761" w:themeColor="accent1" w:themeShade="BF"/>
    </w:rPr>
  </w:style>
  <w:style w:type="character" w:styleId="IntenseReference">
    <w:name w:val="Intense Reference"/>
    <w:basedOn w:val="DefaultParagraphFont"/>
    <w:uiPriority w:val="32"/>
    <w:qFormat/>
    <w:rsid w:val="009214B8"/>
    <w:rPr>
      <w:b/>
      <w:bCs/>
      <w:smallCaps/>
      <w:color w:val="0F4761" w:themeColor="accent1" w:themeShade="BF"/>
      <w:spacing w:val="5"/>
    </w:rPr>
  </w:style>
  <w:style w:type="table" w:styleId="TableGrid">
    <w:name w:val="Table Grid"/>
    <w:basedOn w:val="TableNormal"/>
    <w:uiPriority w:val="39"/>
    <w:rsid w:val="009214B8"/>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243</Words>
  <Characters>1405</Characters>
  <Application>Microsoft Office Word</Application>
  <DocSecurity>0</DocSecurity>
  <Lines>93</Lines>
  <Paragraphs>29</Paragraphs>
  <ScaleCrop>false</ScaleCrop>
  <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Obando Almache</dc:creator>
  <cp:keywords/>
  <dc:description/>
  <cp:lastModifiedBy>Jessica Obando Almache</cp:lastModifiedBy>
  <cp:revision>1</cp:revision>
  <dcterms:created xsi:type="dcterms:W3CDTF">2026-02-26T20:49:00Z</dcterms:created>
  <dcterms:modified xsi:type="dcterms:W3CDTF">2026-02-26T20:53:00Z</dcterms:modified>
</cp:coreProperties>
</file>