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32FE" w14:textId="66A6B363" w:rsidR="00DE7ECB" w:rsidRPr="00D25E70" w:rsidRDefault="00D25E70">
      <w:pPr>
        <w:pStyle w:val="Heading1"/>
        <w:rPr>
          <w:rFonts w:ascii="Aptos" w:hAnsi="Aptos"/>
          <w:color w:val="000000" w:themeColor="text1"/>
          <w:sz w:val="20"/>
          <w:szCs w:val="20"/>
        </w:rPr>
      </w:pPr>
      <w:r w:rsidRPr="00D25E70">
        <w:rPr>
          <w:rFonts w:ascii="Aptos" w:hAnsi="Aptos"/>
          <w:color w:val="000000" w:themeColor="text1"/>
          <w:sz w:val="20"/>
          <w:szCs w:val="20"/>
        </w:rPr>
        <w:t>Cyclobenzaprine</w:t>
      </w:r>
      <w:r w:rsidRPr="00D25E70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="00F80E41" w:rsidRPr="00D25E70">
        <w:rPr>
          <w:rFonts w:ascii="Aptos" w:hAnsi="Aptos"/>
          <w:color w:val="000000" w:themeColor="text1"/>
          <w:sz w:val="20"/>
          <w:szCs w:val="20"/>
        </w:rPr>
        <w:t>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351"/>
        <w:gridCol w:w="1762"/>
        <w:gridCol w:w="1982"/>
        <w:gridCol w:w="2729"/>
      </w:tblGrid>
      <w:tr w:rsidR="00DE7ECB" w:rsidRPr="00D25E70" w14:paraId="776D80BC" w14:textId="77777777" w:rsidTr="00D25E70">
        <w:tc>
          <w:tcPr>
            <w:tcW w:w="2160" w:type="dxa"/>
            <w:gridSpan w:val="2"/>
          </w:tcPr>
          <w:p w14:paraId="2961F744" w14:textId="35483D9E" w:rsidR="00DE7ECB" w:rsidRPr="00D25E70" w:rsidRDefault="00F80E41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D25E70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Class: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  <w:t>Centrally Acting Muscle Relaxant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Prototype: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  <w:t>Cyclobenzaprine (Flexeril)</w:t>
            </w:r>
          </w:p>
        </w:tc>
        <w:tc>
          <w:tcPr>
            <w:tcW w:w="6518" w:type="dxa"/>
            <w:gridSpan w:val="3"/>
          </w:tcPr>
          <w:p w14:paraId="2E57C000" w14:textId="77777777" w:rsidR="00DE7ECB" w:rsidRPr="00D25E70" w:rsidRDefault="00F80E41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D25E70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Indications: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  <w:t>Used to treat acute muscle spasms.</w:t>
            </w:r>
          </w:p>
        </w:tc>
      </w:tr>
      <w:tr w:rsidR="00DE7ECB" w:rsidRPr="00D25E70" w14:paraId="31BA8063" w14:textId="77777777" w:rsidTr="00D25E70">
        <w:tc>
          <w:tcPr>
            <w:tcW w:w="8678" w:type="dxa"/>
            <w:gridSpan w:val="5"/>
          </w:tcPr>
          <w:p w14:paraId="3EF0AA1A" w14:textId="77777777" w:rsidR="00DE7ECB" w:rsidRPr="00D25E70" w:rsidRDefault="00F80E41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D25E70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Mechanism of Action: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Reduces tonic somatic muscle activity at the level of the brainstem. It is structurally like tricyclic antidepressants. The precise mechanism of action is not known.</w:t>
            </w:r>
          </w:p>
        </w:tc>
      </w:tr>
      <w:tr w:rsidR="00DE7ECB" w:rsidRPr="00D25E70" w14:paraId="61CA1EB5" w14:textId="77777777" w:rsidTr="00D25E70">
        <w:tc>
          <w:tcPr>
            <w:tcW w:w="1809" w:type="dxa"/>
          </w:tcPr>
          <w:p w14:paraId="5ADC20BE" w14:textId="40641D01" w:rsidR="00DE7ECB" w:rsidRPr="00D25E70" w:rsidRDefault="00F80E41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D25E70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Administration: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Use cautiously with older adults and those taking antidepressants or other CNS depressants.</w:t>
            </w:r>
            <w:r w:rsid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Safety and efficacy in clients under 15 years are not established.</w:t>
            </w:r>
          </w:p>
        </w:tc>
        <w:tc>
          <w:tcPr>
            <w:tcW w:w="2127" w:type="dxa"/>
            <w:gridSpan w:val="2"/>
          </w:tcPr>
          <w:p w14:paraId="49E0FD81" w14:textId="6026F7AF" w:rsidR="00DE7ECB" w:rsidRPr="00D25E70" w:rsidRDefault="00F80E41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D25E70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Side Effects: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Antimuscarinic effects.</w:t>
            </w:r>
            <w:r w:rsid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Neurological adverse effects.</w:t>
            </w:r>
            <w:r w:rsid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GI disorders.</w:t>
            </w:r>
            <w:r w:rsid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Orthostatic hypotension.</w:t>
            </w:r>
            <w:r w:rsid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Tachycardia.</w:t>
            </w:r>
            <w:r w:rsid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Hypersensitivity reactions.</w:t>
            </w:r>
            <w:r w:rsid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Increased sedation with other CNS depressants.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  <w:t>Orthostatic hypotension: caution with changing position.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  <w:t>SAFETY WARNING: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  <w:t>Serotonin Syndrome.</w:t>
            </w:r>
          </w:p>
        </w:tc>
        <w:tc>
          <w:tcPr>
            <w:tcW w:w="1984" w:type="dxa"/>
          </w:tcPr>
          <w:p w14:paraId="576A0797" w14:textId="37CF6ECB" w:rsidR="00DE7ECB" w:rsidRPr="00D25E70" w:rsidRDefault="00F80E41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D25E70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Contraindications: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Hypersensitivity to cyclobenzaprine.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Acute recovery phase of MI.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Arrhythmias, heart block or conduction disturbances.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Congestive heart failure (CHF).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Hyperthyroidism.</w:t>
            </w:r>
          </w:p>
        </w:tc>
        <w:tc>
          <w:tcPr>
            <w:tcW w:w="2758" w:type="dxa"/>
          </w:tcPr>
          <w:p w14:paraId="4B2A0DC5" w14:textId="77777777" w:rsidR="00D25E70" w:rsidRDefault="00F80E41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D25E70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Nursing Considerations: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Assess for allergies.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</w:p>
          <w:p w14:paraId="19B221DF" w14:textId="4289A33D" w:rsidR="00DE7ECB" w:rsidRPr="00D25E70" w:rsidRDefault="00F80E41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Monitor heart rate and rhythm.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Caution with urinary retention, glaucoma, lactation, and mild hepatic impairment.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Inform clients about serious side effects.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Avoid concurrent use with alcohol or other CNS depressants.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Report urinary retention or difficulty voiding, pale stools, or yellow skin/eyes.</w:t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="00D25E70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D25E70">
              <w:rPr>
                <w:rFonts w:ascii="Aptos" w:hAnsi="Aptos"/>
                <w:color w:val="000000" w:themeColor="text1"/>
                <w:sz w:val="20"/>
                <w:szCs w:val="20"/>
              </w:rPr>
              <w:t>Do not use within 2 weeks of a monoamine oxidase inhibitor (MAOI) or other antidepressants such as SSRIs, SNRIs, and TCAs.</w:t>
            </w:r>
          </w:p>
        </w:tc>
      </w:tr>
    </w:tbl>
    <w:p w14:paraId="3671E5C3" w14:textId="77777777" w:rsidR="00F80E41" w:rsidRDefault="00F80E41"/>
    <w:p w14:paraId="2C84C3F9" w14:textId="77777777" w:rsidR="00D25E70" w:rsidRDefault="00D25E70"/>
    <w:p w14:paraId="41ADC100" w14:textId="77777777" w:rsidR="00D25E70" w:rsidRDefault="00D25E70"/>
    <w:sectPr w:rsidR="00D25E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5622593">
    <w:abstractNumId w:val="8"/>
  </w:num>
  <w:num w:numId="2" w16cid:durableId="1771192620">
    <w:abstractNumId w:val="6"/>
  </w:num>
  <w:num w:numId="3" w16cid:durableId="925113743">
    <w:abstractNumId w:val="5"/>
  </w:num>
  <w:num w:numId="4" w16cid:durableId="2126847914">
    <w:abstractNumId w:val="4"/>
  </w:num>
  <w:num w:numId="5" w16cid:durableId="946738214">
    <w:abstractNumId w:val="7"/>
  </w:num>
  <w:num w:numId="6" w16cid:durableId="1088115918">
    <w:abstractNumId w:val="3"/>
  </w:num>
  <w:num w:numId="7" w16cid:durableId="937056126">
    <w:abstractNumId w:val="2"/>
  </w:num>
  <w:num w:numId="8" w16cid:durableId="1352755283">
    <w:abstractNumId w:val="1"/>
  </w:num>
  <w:num w:numId="9" w16cid:durableId="123601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1E4D"/>
    <w:rsid w:val="0029639D"/>
    <w:rsid w:val="00326F90"/>
    <w:rsid w:val="00AA1D8D"/>
    <w:rsid w:val="00B47730"/>
    <w:rsid w:val="00CB0664"/>
    <w:rsid w:val="00D25E70"/>
    <w:rsid w:val="00DE7E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220D5B"/>
  <w14:defaultImageDpi w14:val="300"/>
  <w15:docId w15:val="{BC0F7488-7DA1-7D47-8CF8-B40A6924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1299</Characters>
  <Application>Microsoft Office Word</Application>
  <DocSecurity>0</DocSecurity>
  <Lines>92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Obando Almache</cp:lastModifiedBy>
  <cp:revision>2</cp:revision>
  <dcterms:created xsi:type="dcterms:W3CDTF">2026-01-15T19:10:00Z</dcterms:created>
  <dcterms:modified xsi:type="dcterms:W3CDTF">2026-01-15T19:10:00Z</dcterms:modified>
  <cp:category/>
</cp:coreProperties>
</file>