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1958"/>
        <w:gridCol w:w="2924"/>
        <w:gridCol w:w="2408"/>
        <w:gridCol w:w="3205"/>
        <w:gridCol w:w="3392"/>
      </w:tblGrid>
      <w:tr w:rsidR="002C3231" w14:paraId="47F2F3C4" w14:textId="77777777" w:rsidTr="00FE4EE1">
        <w:tc>
          <w:tcPr>
            <w:tcW w:w="13887" w:type="dxa"/>
            <w:gridSpan w:val="5"/>
            <w:shd w:val="clear" w:color="auto" w:fill="F2F2F2"/>
          </w:tcPr>
          <w:p w14:paraId="16F209CF" w14:textId="4D28FA0D" w:rsidR="002C3231" w:rsidRPr="002C3231" w:rsidRDefault="002C3231" w:rsidP="002C3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4"/>
              </w:rPr>
            </w:pPr>
            <w:r w:rsidRPr="002C3231">
              <w:rPr>
                <w:rFonts w:cstheme="minorHAnsi"/>
                <w:b/>
                <w:sz w:val="24"/>
              </w:rPr>
              <w:t>Chapter 7: Cardiovascular Medications</w:t>
            </w:r>
            <w:r>
              <w:rPr>
                <w:rFonts w:cstheme="minorHAnsi"/>
                <w:b/>
                <w:sz w:val="24"/>
              </w:rPr>
              <w:t xml:space="preserve">                                                                              </w:t>
            </w:r>
            <w:r>
              <w:rPr>
                <w:rFonts w:cstheme="minorHAnsi"/>
                <w:b/>
                <w:sz w:val="24"/>
              </w:rPr>
              <w:t xml:space="preserve">                                                                                         </w:t>
            </w:r>
            <w:r>
              <w:rPr>
                <w:rFonts w:cstheme="minorHAnsi"/>
                <w:b/>
                <w:sz w:val="24"/>
              </w:rPr>
              <w:t>2026</w:t>
            </w:r>
          </w:p>
          <w:p w14:paraId="5E6F05D7" w14:textId="20A7ADB8" w:rsidR="002C3231" w:rsidRPr="002C3231" w:rsidRDefault="001B5E5A" w:rsidP="002C3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Comparing </w:t>
            </w:r>
            <w:r w:rsidR="002C3231" w:rsidRPr="002C3231">
              <w:rPr>
                <w:rFonts w:cstheme="minorHAnsi"/>
                <w:b/>
                <w:sz w:val="24"/>
              </w:rPr>
              <w:t>Anti-lipemic</w:t>
            </w:r>
            <w:r>
              <w:rPr>
                <w:rFonts w:cstheme="minorHAnsi"/>
                <w:b/>
                <w:sz w:val="24"/>
              </w:rPr>
              <w:t xml:space="preserve"> Agents</w:t>
            </w:r>
          </w:p>
          <w:p w14:paraId="79763C44" w14:textId="4CA58335" w:rsidR="002C3231" w:rsidRDefault="002C3231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C3231" w14:paraId="66B1BBEB" w14:textId="77777777" w:rsidTr="00FE4EE1">
        <w:tc>
          <w:tcPr>
            <w:tcW w:w="13887" w:type="dxa"/>
            <w:gridSpan w:val="5"/>
          </w:tcPr>
          <w:p w14:paraId="2B7C70B4" w14:textId="753AA07E" w:rsidR="00C42D05" w:rsidRPr="00C42D05" w:rsidRDefault="004C731C" w:rsidP="00C42D05">
            <w:pPr>
              <w:spacing w:before="120" w:after="120" w:line="240" w:lineRule="atLeast"/>
              <w:ind w:firstLine="0"/>
              <w:rPr>
                <w:rFonts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Pr="009F70A3">
              <w:rPr>
                <w:rFonts w:eastAsia="Times New Roman" w:cstheme="minorHAnsi"/>
                <w:sz w:val="24"/>
                <w:szCs w:val="24"/>
              </w:rPr>
              <w:t xml:space="preserve">ntilipemic agents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are used to treat </w:t>
            </w:r>
            <w:r w:rsidRPr="009F70A3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hyperlipidemia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and dyslipidemia </w:t>
            </w:r>
            <w:r w:rsidRPr="009F70A3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that may lead to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s</w:t>
            </w:r>
            <w:r w:rsidRPr="009F70A3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troke, myocardial infarction, angina, and heart failure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.</w:t>
            </w:r>
            <w:r w:rsidRPr="004C731C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4C731C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Some of the meds are used primarily to lower low-density lipoproteins (LDLs), some for lowering triglycerides, and others can help raise high density lipoproteins (HDLs).</w:t>
            </w:r>
            <w:r w:rsidR="00C42D05" w:rsidRPr="00C42D05">
              <w:rPr>
                <w:rFonts w:eastAsia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42D05" w:rsidRPr="00C42D05">
              <w:rPr>
                <w:rFonts w:eastAsia="Times New Roman" w:cs="Times New Roman"/>
                <w:kern w:val="2"/>
                <w:sz w:val="24"/>
                <w:szCs w:val="24"/>
                <w14:ligatures w14:val="standardContextual"/>
              </w:rPr>
              <w:t xml:space="preserve">Statins are often the first medication to be started and depending on the response, other cholesterol lowering meds will be added. </w:t>
            </w:r>
          </w:p>
          <w:p w14:paraId="588EA1F6" w14:textId="3A40A9C3" w:rsidR="002C3231" w:rsidRPr="00572F12" w:rsidRDefault="00572F12" w:rsidP="00572F12">
            <w:pPr>
              <w:spacing w:after="160" w:line="259" w:lineRule="auto"/>
              <w:ind w:firstLine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kern w:val="2"/>
                <w:sz w:val="24"/>
                <w:szCs w:val="24"/>
                <w:lang w:eastAsia="en-CA"/>
                <w14:ligatures w14:val="standardContextual"/>
              </w:rPr>
              <w:t xml:space="preserve">Anti-lipemic meds include </w:t>
            </w:r>
            <w:r w:rsidR="004C731C" w:rsidRPr="004C731C">
              <w:rPr>
                <w:kern w:val="2"/>
                <w:sz w:val="24"/>
                <w:szCs w:val="24"/>
                <w:lang w:eastAsia="en-CA"/>
                <w14:ligatures w14:val="standardContextual"/>
              </w:rPr>
              <w:t>HMG-CoA Reductase Inhibitors (statins), Bile Acid Sequestrants, Fibrates, Niacin, Cholesterol Absorption Inhibitors.</w:t>
            </w:r>
          </w:p>
          <w:p w14:paraId="0E86DBFA" w14:textId="232F4B9A" w:rsidR="002C3231" w:rsidRPr="002C3231" w:rsidRDefault="002C3231" w:rsidP="002C3231">
            <w:pP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72F12" w:rsidRPr="000662DB" w14:paraId="30576FD6" w14:textId="77777777" w:rsidTr="00A2653A">
        <w:tc>
          <w:tcPr>
            <w:tcW w:w="1980" w:type="dxa"/>
            <w:shd w:val="clear" w:color="auto" w:fill="F2F2F2"/>
          </w:tcPr>
          <w:p w14:paraId="4B8305C1" w14:textId="77777777" w:rsidR="002C3231" w:rsidRPr="000662DB" w:rsidRDefault="002C3231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2268" w:type="dxa"/>
            <w:shd w:val="clear" w:color="auto" w:fill="F2F2F2"/>
          </w:tcPr>
          <w:p w14:paraId="7C809FB7" w14:textId="76C89DBE" w:rsidR="002C3231" w:rsidRPr="000662DB" w:rsidRDefault="004C731C" w:rsidP="004C731C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Mechanism of Action/ Indications</w:t>
            </w:r>
          </w:p>
        </w:tc>
        <w:tc>
          <w:tcPr>
            <w:tcW w:w="2551" w:type="dxa"/>
            <w:shd w:val="clear" w:color="auto" w:fill="F2F2F2"/>
          </w:tcPr>
          <w:p w14:paraId="6D7C312E" w14:textId="491B8284" w:rsidR="002C3231" w:rsidRPr="000662DB" w:rsidRDefault="004C731C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Administration </w:t>
            </w:r>
          </w:p>
        </w:tc>
        <w:tc>
          <w:tcPr>
            <w:tcW w:w="3402" w:type="dxa"/>
            <w:shd w:val="clear" w:color="auto" w:fill="F2F2F2"/>
          </w:tcPr>
          <w:p w14:paraId="50779BBC" w14:textId="7EE6459B" w:rsidR="002C3231" w:rsidRPr="000662DB" w:rsidRDefault="004C731C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Side/Adverse Effects</w:t>
            </w:r>
          </w:p>
        </w:tc>
        <w:tc>
          <w:tcPr>
            <w:tcW w:w="3686" w:type="dxa"/>
            <w:shd w:val="clear" w:color="auto" w:fill="F2F2F2"/>
          </w:tcPr>
          <w:p w14:paraId="68013B06" w14:textId="77777777" w:rsidR="002C3231" w:rsidRDefault="002C3231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Nursing Considerations</w:t>
            </w:r>
          </w:p>
          <w:p w14:paraId="179E560A" w14:textId="60AE9C7F" w:rsidR="002C3231" w:rsidRPr="000662DB" w:rsidRDefault="002C3231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72F12" w:rsidRPr="000662DB" w14:paraId="23F40D79" w14:textId="77777777" w:rsidTr="00A2653A">
        <w:tc>
          <w:tcPr>
            <w:tcW w:w="1980" w:type="dxa"/>
          </w:tcPr>
          <w:p w14:paraId="02F15C82" w14:textId="77777777" w:rsidR="004C731C" w:rsidRDefault="004C731C" w:rsidP="004C731C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>
              <w:rPr>
                <w:rFonts w:cstheme="minorHAnsi"/>
                <w:b/>
                <w:sz w:val="20"/>
                <w:szCs w:val="18"/>
              </w:rPr>
              <w:t>Anti-lipemic</w:t>
            </w:r>
          </w:p>
          <w:p w14:paraId="56E11462" w14:textId="77777777" w:rsidR="00A2653A" w:rsidRPr="00C1740B" w:rsidRDefault="00A2653A" w:rsidP="004C731C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</w:p>
          <w:p w14:paraId="0076910A" w14:textId="77777777" w:rsidR="004C731C" w:rsidRPr="009D5724" w:rsidRDefault="004C731C" w:rsidP="004C731C">
            <w:pPr>
              <w:spacing w:line="261" w:lineRule="exact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>
              <w:rPr>
                <w:rFonts w:cstheme="minorHAnsi"/>
                <w:b/>
                <w:sz w:val="20"/>
                <w:szCs w:val="18"/>
              </w:rPr>
              <w:t>Atorvastatin (Lipitor)</w:t>
            </w:r>
          </w:p>
          <w:p w14:paraId="77A9F4DA" w14:textId="77777777" w:rsidR="002C3231" w:rsidRDefault="002C323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953E8B4" w14:textId="77777777" w:rsidR="004C731C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C3CB84E" w14:textId="77777777" w:rsidR="004C731C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339D944" w14:textId="77777777" w:rsidR="004C731C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FB14ACB" w14:textId="77777777" w:rsidR="004C731C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175BC98" w14:textId="77777777" w:rsidR="004C731C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A42FDB3" w14:textId="47C60F5C" w:rsidR="004C731C" w:rsidRPr="000662DB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EA9ECA" w14:textId="77777777" w:rsidR="002C3231" w:rsidRDefault="004C731C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4C731C">
              <w:rPr>
                <w:rFonts w:ascii="Calibri" w:eastAsia="Calibri" w:hAnsi="Calibri" w:cs="Calibri"/>
                <w:sz w:val="20"/>
                <w:szCs w:val="20"/>
              </w:rPr>
              <w:t>Atorvastatin inhibits HMG-CoA reductase and cholesterol synthesis, which reduces LDL (low density lipoprotein)</w:t>
            </w:r>
          </w:p>
          <w:p w14:paraId="05D13D6B" w14:textId="77777777" w:rsidR="00C42D05" w:rsidRDefault="00C42D0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DC5B39" w14:textId="77777777" w:rsidR="00C42D05" w:rsidRDefault="00C42D0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Use: Lowers LDLs mostly but also</w:t>
            </w:r>
            <w:r w:rsidRPr="00C42D05">
              <w:rPr>
                <w:rFonts w:ascii="Calibri" w:eastAsia="Calibri" w:hAnsi="Calibri" w:cs="Calibri"/>
                <w:sz w:val="20"/>
                <w:szCs w:val="20"/>
              </w:rPr>
              <w:t xml:space="preserve"> decrease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 w:rsidRPr="00C42D05">
              <w:rPr>
                <w:rFonts w:ascii="Calibri" w:eastAsia="Calibri" w:hAnsi="Calibri" w:cs="Calibri"/>
                <w:sz w:val="20"/>
                <w:szCs w:val="20"/>
              </w:rPr>
              <w:t>LDL levels and triglyceride levels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and </w:t>
            </w:r>
            <w:r w:rsidRPr="00C42D05">
              <w:rPr>
                <w:rFonts w:ascii="Calibri" w:eastAsia="Calibri" w:hAnsi="Calibri" w:cs="Calibri"/>
                <w:sz w:val="20"/>
                <w:szCs w:val="20"/>
              </w:rPr>
              <w:t>HDLs levels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C9D5DBC" w14:textId="77777777" w:rsidR="00C42D05" w:rsidRDefault="00C42D0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9A6E96" w14:textId="77777777" w:rsidR="00C42D05" w:rsidRDefault="00C42D0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Helps stabilize atherosclerotic plaques, improving</w:t>
            </w:r>
            <w:r w:rsidRPr="004C731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blood flow through blood vessels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</w:t>
            </w:r>
          </w:p>
          <w:p w14:paraId="45B57B3F" w14:textId="3EB59DC1" w:rsidR="00C42D05" w:rsidRPr="000662DB" w:rsidRDefault="00C42D0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Also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anti-inflammatory and anti-oxidant effects</w:t>
            </w:r>
          </w:p>
        </w:tc>
        <w:tc>
          <w:tcPr>
            <w:tcW w:w="2551" w:type="dxa"/>
          </w:tcPr>
          <w:p w14:paraId="7441AD4A" w14:textId="10049208" w:rsidR="006C12AD" w:rsidRDefault="006C12AD" w:rsidP="003B1079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18"/>
              </w:rPr>
            </w:pPr>
            <w:proofErr w:type="gramStart"/>
            <w:r>
              <w:rPr>
                <w:rFonts w:cstheme="minorHAnsi"/>
                <w:sz w:val="20"/>
                <w:szCs w:val="18"/>
              </w:rPr>
              <w:t>Well</w:t>
            </w:r>
            <w:proofErr w:type="gramEnd"/>
            <w:r>
              <w:rPr>
                <w:rFonts w:cstheme="minorHAnsi"/>
                <w:sz w:val="20"/>
                <w:szCs w:val="18"/>
              </w:rPr>
              <w:t xml:space="preserve"> tolerated</w:t>
            </w:r>
          </w:p>
          <w:p w14:paraId="70B63809" w14:textId="7D565682" w:rsidR="004C731C" w:rsidRPr="003B1079" w:rsidRDefault="003B1079" w:rsidP="003B1079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Oral; </w:t>
            </w:r>
            <w:r w:rsidR="004C731C" w:rsidRPr="003B1079">
              <w:rPr>
                <w:rFonts w:cstheme="minorHAnsi"/>
                <w:sz w:val="20"/>
                <w:szCs w:val="18"/>
              </w:rPr>
              <w:t>10-80 mg daily</w:t>
            </w:r>
            <w:r w:rsidR="00C42D05">
              <w:rPr>
                <w:rFonts w:cstheme="minorHAnsi"/>
                <w:sz w:val="20"/>
                <w:szCs w:val="18"/>
              </w:rPr>
              <w:t>, same time each day, bedtime preferred (endogenous cholesterol production is at night). Take with/without food.</w:t>
            </w:r>
          </w:p>
          <w:p w14:paraId="1990ABB4" w14:textId="77777777" w:rsidR="004C731C" w:rsidRDefault="004C731C" w:rsidP="006C12AD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18"/>
              </w:rPr>
            </w:pPr>
            <w:r w:rsidRPr="006C12AD">
              <w:rPr>
                <w:rFonts w:cstheme="minorHAnsi"/>
                <w:sz w:val="20"/>
                <w:szCs w:val="18"/>
              </w:rPr>
              <w:t>Increasing doses q 2-4 weeks until therapeutic lipid blood levels</w:t>
            </w:r>
          </w:p>
          <w:p w14:paraId="2B7730CE" w14:textId="77777777" w:rsidR="006C12AD" w:rsidRPr="006C12AD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18"/>
              </w:rPr>
            </w:pPr>
          </w:p>
          <w:p w14:paraId="4584E4E3" w14:textId="77777777" w:rsidR="002C3231" w:rsidRDefault="004C731C" w:rsidP="004C731C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18"/>
              </w:rPr>
            </w:pPr>
            <w:r w:rsidRPr="00C40DB7">
              <w:rPr>
                <w:rFonts w:cstheme="minorHAnsi"/>
                <w:sz w:val="20"/>
                <w:szCs w:val="18"/>
              </w:rPr>
              <w:t>Avoid moisture (avoid bathroom storage)</w:t>
            </w:r>
          </w:p>
          <w:p w14:paraId="3AE9CC99" w14:textId="77777777" w:rsidR="00C42D05" w:rsidRDefault="00C42D05" w:rsidP="004C731C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5AE5AB" w14:textId="57C450EB" w:rsidR="00C42D05" w:rsidRDefault="00C42D05" w:rsidP="00C42D05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Avoid eating/drinking</w:t>
            </w:r>
            <w:r>
              <w:rPr>
                <w:rFonts w:cstheme="minorHAnsi"/>
                <w:sz w:val="20"/>
                <w:szCs w:val="18"/>
              </w:rPr>
              <w:t xml:space="preserve"> grapefruit</w:t>
            </w:r>
          </w:p>
          <w:p w14:paraId="07FADE2D" w14:textId="31FAEF22" w:rsidR="00C42D05" w:rsidRPr="000662DB" w:rsidRDefault="00C42D05" w:rsidP="004C731C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B05ED2" w14:textId="77777777" w:rsidR="006C12AD" w:rsidRDefault="006C12AD" w:rsidP="006C12AD">
            <w:pPr>
              <w:spacing w:after="160" w:line="259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6C12AD">
              <w:rPr>
                <w:rFonts w:cstheme="minorHAnsi"/>
                <w:kern w:val="2"/>
                <w:lang w:eastAsia="en-CA"/>
                <w14:ligatures w14:val="standardContextual"/>
              </w:rPr>
              <w:t xml:space="preserve">SE mild: </w:t>
            </w:r>
            <w:r w:rsidRPr="006C12AD">
              <w:rPr>
                <w:rFonts w:cstheme="minorHAnsi"/>
                <w:kern w:val="2"/>
                <w:lang w:eastAsia="en-CA"/>
                <w14:ligatures w14:val="standardContextual"/>
              </w:rPr>
              <w:t xml:space="preserve">headache, </w:t>
            </w:r>
            <w:r w:rsidRPr="006C12AD">
              <w:rPr>
                <w:rFonts w:eastAsia="Times New Roman" w:cstheme="minorHAnsi"/>
                <w:color w:val="000000"/>
                <w:lang w:eastAsia="en-CA"/>
              </w:rPr>
              <w:t>nausea, dyspepsia</w:t>
            </w:r>
            <w:r w:rsidRPr="006C12AD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.</w:t>
            </w:r>
          </w:p>
          <w:p w14:paraId="164AAAB4" w14:textId="16F9DF83" w:rsidR="006C12AD" w:rsidRDefault="006C12AD" w:rsidP="006C12AD">
            <w:pPr>
              <w:spacing w:after="160" w:line="259" w:lineRule="auto"/>
              <w:ind w:firstLine="0"/>
              <w:rPr>
                <w:rFonts w:eastAsia="Times New Roman" w:cstheme="minorHAnsi"/>
                <w:color w:val="000000"/>
                <w:lang w:eastAsia="en-CA"/>
              </w:rPr>
            </w:pPr>
            <w:r w:rsidRPr="006C12AD">
              <w:rPr>
                <w:rFonts w:eastAsia="Times New Roman" w:cstheme="minorHAnsi"/>
                <w:color w:val="000000"/>
                <w:lang w:eastAsia="en-CA"/>
              </w:rPr>
              <w:t>Hyperglycemia: may increase blood sugar levels due to increasing insulin resistance or impairing insulin secretion in the beta cells</w:t>
            </w:r>
            <w:r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14:paraId="082EE0AA" w14:textId="7F5B4E06" w:rsidR="006C12AD" w:rsidRPr="006C12AD" w:rsidRDefault="006C12AD" w:rsidP="006C12AD">
            <w:pPr>
              <w:shd w:val="clear" w:color="auto" w:fill="FFFFFF"/>
              <w:spacing w:before="240"/>
              <w:ind w:firstLine="0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Drug interactions:</w:t>
            </w:r>
            <w:r w:rsidRPr="006C12AD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C12AD">
              <w:rPr>
                <w:rFonts w:eastAsia="Times New Roman" w:cstheme="minorHAnsi"/>
                <w:color w:val="000000"/>
                <w:lang w:eastAsia="en-CA"/>
              </w:rPr>
              <w:t xml:space="preserve">antibiotics, antifungals, calcium channel blockers, leading to higher statin levels and more risk for adverse effects. </w:t>
            </w:r>
          </w:p>
          <w:p w14:paraId="52358CD6" w14:textId="0260F355" w:rsidR="006C12AD" w:rsidRPr="006C12AD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Risk for:</w:t>
            </w:r>
          </w:p>
          <w:p w14:paraId="473FB269" w14:textId="0A4886D4" w:rsidR="004C731C" w:rsidRPr="006C12AD" w:rsidRDefault="004C731C" w:rsidP="004C731C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cstheme="minorHAnsi"/>
              </w:rPr>
            </w:pPr>
            <w:r w:rsidRPr="006C12AD">
              <w:rPr>
                <w:rFonts w:cstheme="minorHAnsi"/>
              </w:rPr>
              <w:t xml:space="preserve">Rhabdomyolysis- kidney damage </w:t>
            </w:r>
            <w:r w:rsidR="006C12AD" w:rsidRPr="006C12AD">
              <w:rPr>
                <w:rFonts w:cstheme="minorHAnsi"/>
              </w:rPr>
              <w:t>– assess tea colored urine. M</w:t>
            </w:r>
            <w:r w:rsidRPr="006C12AD">
              <w:rPr>
                <w:rFonts w:cstheme="minorHAnsi"/>
              </w:rPr>
              <w:t>yalgia</w:t>
            </w:r>
            <w:r w:rsidR="006C12AD" w:rsidRPr="006C12AD">
              <w:rPr>
                <w:rFonts w:cstheme="minorHAnsi"/>
              </w:rPr>
              <w:t xml:space="preserve">, </w:t>
            </w:r>
            <w:r w:rsidRPr="006C12AD">
              <w:rPr>
                <w:rFonts w:cstheme="minorHAnsi"/>
              </w:rPr>
              <w:t>Muscle pain and weakness</w:t>
            </w:r>
            <w:r w:rsidR="006C12AD" w:rsidRPr="006C12AD">
              <w:rPr>
                <w:rFonts w:cstheme="minorHAnsi"/>
              </w:rPr>
              <w:t xml:space="preserve">, </w:t>
            </w:r>
            <w:r w:rsidRPr="006C12AD">
              <w:rPr>
                <w:rFonts w:cstheme="minorHAnsi"/>
              </w:rPr>
              <w:t>Irregular heart beat</w:t>
            </w:r>
          </w:p>
          <w:p w14:paraId="71AC4108" w14:textId="77777777" w:rsidR="004C731C" w:rsidRPr="00823878" w:rsidRDefault="004C731C" w:rsidP="004C731C">
            <w:pPr>
              <w:tabs>
                <w:tab w:val="left" w:pos="369"/>
              </w:tabs>
              <w:spacing w:line="0" w:lineRule="atLeas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47B668" w14:textId="77777777" w:rsidR="004C731C" w:rsidRPr="006C12AD" w:rsidRDefault="004C731C" w:rsidP="006C12AD">
            <w:pPr>
              <w:tabs>
                <w:tab w:val="left" w:pos="369"/>
              </w:tabs>
              <w:spacing w:line="0" w:lineRule="atLeast"/>
              <w:ind w:right="60" w:firstLine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C12AD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</w:t>
            </w:r>
            <w:r w:rsidRPr="006C12AD">
              <w:rPr>
                <w:rFonts w:cstheme="minorHAnsi"/>
                <w:b/>
                <w:sz w:val="20"/>
                <w:szCs w:val="20"/>
              </w:rPr>
              <w:t>AFETY</w:t>
            </w:r>
            <w:r w:rsidRPr="006C12AD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6C12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6898423" w14:textId="2D5AF169" w:rsidR="004C731C" w:rsidRDefault="004C731C" w:rsidP="004C731C">
            <w:pPr>
              <w:tabs>
                <w:tab w:val="left" w:pos="369"/>
                <w:tab w:val="left" w:pos="520"/>
              </w:tabs>
              <w:spacing w:line="0" w:lineRule="atLeast"/>
              <w:ind w:right="180" w:firstLine="0"/>
              <w:rPr>
                <w:rFonts w:cstheme="minorHAnsi"/>
                <w:sz w:val="20"/>
                <w:szCs w:val="18"/>
              </w:rPr>
            </w:pPr>
            <w:r w:rsidRPr="00735404">
              <w:rPr>
                <w:rFonts w:cstheme="minorHAnsi"/>
                <w:sz w:val="20"/>
                <w:szCs w:val="20"/>
              </w:rPr>
              <w:t>Report muscle pain</w:t>
            </w:r>
            <w:r>
              <w:rPr>
                <w:rFonts w:cstheme="minorHAnsi"/>
                <w:sz w:val="20"/>
                <w:szCs w:val="20"/>
              </w:rPr>
              <w:t>, yellow skin, decrease in urine and abdominal pain</w:t>
            </w:r>
            <w:r w:rsidRPr="00735404">
              <w:rPr>
                <w:rFonts w:cstheme="minorHAnsi"/>
                <w:sz w:val="20"/>
                <w:szCs w:val="20"/>
              </w:rPr>
              <w:t xml:space="preserve"> to MD</w:t>
            </w:r>
          </w:p>
          <w:p w14:paraId="5BE2FF6E" w14:textId="26E5428D" w:rsidR="004C731C" w:rsidRPr="00C40DB7" w:rsidRDefault="006C12AD" w:rsidP="004C731C">
            <w:pPr>
              <w:tabs>
                <w:tab w:val="left" w:pos="369"/>
                <w:tab w:val="left" w:pos="520"/>
              </w:tabs>
              <w:spacing w:line="0" w:lineRule="atLeast"/>
              <w:ind w:right="180" w:firstLine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Contraindicated with </w:t>
            </w:r>
            <w:r w:rsidR="004C731C" w:rsidRPr="00C40DB7">
              <w:rPr>
                <w:rFonts w:cstheme="minorHAnsi"/>
                <w:sz w:val="20"/>
                <w:szCs w:val="18"/>
              </w:rPr>
              <w:t>Hepatic disease</w:t>
            </w:r>
          </w:p>
          <w:p w14:paraId="238B2A26" w14:textId="7DE0DC49" w:rsidR="006C12AD" w:rsidRDefault="006C12AD" w:rsidP="004C731C">
            <w:pPr>
              <w:tabs>
                <w:tab w:val="left" w:pos="369"/>
                <w:tab w:val="left" w:pos="520"/>
              </w:tabs>
              <w:spacing w:line="0" w:lineRule="atLeast"/>
              <w:ind w:right="180" w:firstLine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Do not give if p</w:t>
            </w:r>
            <w:r w:rsidR="004C731C" w:rsidRPr="00C40DB7">
              <w:rPr>
                <w:rFonts w:cstheme="minorHAnsi"/>
                <w:sz w:val="20"/>
                <w:szCs w:val="18"/>
              </w:rPr>
              <w:t>regnant or breast feeding</w:t>
            </w:r>
            <w:r>
              <w:rPr>
                <w:rFonts w:cstheme="minorHAnsi"/>
                <w:sz w:val="20"/>
                <w:szCs w:val="18"/>
              </w:rPr>
              <w:t>.</w:t>
            </w:r>
          </w:p>
          <w:p w14:paraId="66A831B0" w14:textId="6CCD3A95" w:rsidR="002C3231" w:rsidRPr="000662DB" w:rsidRDefault="002C3231" w:rsidP="004C731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A36153B" w14:textId="22EEB637" w:rsidR="006C12AD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lang w:eastAsia="en-CA"/>
              </w:rPr>
            </w:pPr>
            <w:r w:rsidRPr="006C12AD">
              <w:rPr>
                <w:rFonts w:cstheme="minorHAnsi"/>
                <w:sz w:val="20"/>
                <w:szCs w:val="18"/>
              </w:rPr>
              <w:lastRenderedPageBreak/>
              <w:t>Monitor labs</w:t>
            </w:r>
            <w:r w:rsidRPr="006C12AD">
              <w:rPr>
                <w:rFonts w:cstheme="minorHAnsi"/>
                <w:sz w:val="18"/>
                <w:szCs w:val="16"/>
              </w:rPr>
              <w:t xml:space="preserve">: </w:t>
            </w:r>
            <w:r w:rsidRPr="006C12AD">
              <w:rPr>
                <w:lang w:eastAsia="en-CA"/>
              </w:rPr>
              <w:t>liver enzymes (AST/AST), creatine kinase (CK), lipid profile.</w:t>
            </w:r>
            <w:r>
              <w:rPr>
                <w:lang w:eastAsia="en-CA"/>
              </w:rPr>
              <w:t xml:space="preserve"> Blood glucose levels and A1C if diabetic</w:t>
            </w:r>
          </w:p>
          <w:p w14:paraId="3AED8E72" w14:textId="77777777" w:rsidR="006C12AD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lang w:eastAsia="en-CA"/>
              </w:rPr>
            </w:pPr>
          </w:p>
          <w:p w14:paraId="32A55FDB" w14:textId="3AD12111" w:rsidR="006C12AD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lang w:eastAsia="en-CA"/>
              </w:rPr>
            </w:pPr>
            <w:r w:rsidRPr="006C12AD">
              <w:rPr>
                <w:lang w:eastAsia="en-CA"/>
              </w:rPr>
              <w:t>Labs are drawn before therapy, 6 months after initiation and then every 5-12 months.</w:t>
            </w:r>
          </w:p>
          <w:p w14:paraId="26B3EE63" w14:textId="392332C4" w:rsidR="004C731C" w:rsidRPr="00735404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cstheme="minorHAnsi"/>
                <w:sz w:val="20"/>
                <w:szCs w:val="18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Caution with older adult, </w:t>
            </w:r>
            <w:r w:rsidR="004C731C" w:rsidRPr="00735404">
              <w:rPr>
                <w:rFonts w:cstheme="minorHAnsi"/>
                <w:sz w:val="20"/>
                <w:szCs w:val="18"/>
              </w:rPr>
              <w:t>increased risk for myopathy</w:t>
            </w:r>
          </w:p>
          <w:p w14:paraId="2961CB12" w14:textId="77777777" w:rsidR="004C731C" w:rsidRPr="006C12AD" w:rsidRDefault="004C731C" w:rsidP="004C731C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cstheme="minorHAnsi"/>
                <w:sz w:val="20"/>
                <w:szCs w:val="18"/>
              </w:rPr>
            </w:pPr>
          </w:p>
          <w:p w14:paraId="42138A92" w14:textId="04A69B57" w:rsidR="006C12AD" w:rsidRPr="006C12AD" w:rsidRDefault="006C12AD" w:rsidP="006C12AD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bCs w:val="0"/>
                <w:kern w:val="2"/>
                <w:lang w:val="en-US"/>
                <w14:ligatures w14:val="standardContextual"/>
              </w:rPr>
            </w:pPr>
          </w:p>
          <w:p w14:paraId="02B7DDC8" w14:textId="77777777" w:rsidR="006C12AD" w:rsidRPr="006C12AD" w:rsidRDefault="006C12AD" w:rsidP="006C12AD">
            <w:pPr>
              <w:spacing w:after="160" w:line="259" w:lineRule="auto"/>
              <w:ind w:firstLine="0"/>
              <w:rPr>
                <w:bCs w:val="0"/>
                <w:kern w:val="2"/>
                <w:lang w:val="en-US"/>
                <w14:ligatures w14:val="standardContextual"/>
              </w:rPr>
            </w:pPr>
          </w:p>
          <w:p w14:paraId="51F7A14E" w14:textId="584AAE62" w:rsidR="004C731C" w:rsidRPr="000662DB" w:rsidRDefault="004C731C" w:rsidP="006C12AD">
            <w:pPr>
              <w:spacing w:after="160" w:line="259" w:lineRule="auto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72F12" w:rsidRPr="000662DB" w14:paraId="1A56A596" w14:textId="77777777" w:rsidTr="00A2653A">
        <w:tc>
          <w:tcPr>
            <w:tcW w:w="1980" w:type="dxa"/>
          </w:tcPr>
          <w:p w14:paraId="66F968CD" w14:textId="77777777" w:rsidR="002C3231" w:rsidRPr="00572F12" w:rsidRDefault="006C12AD" w:rsidP="00FE4EE1">
            <w:pPr>
              <w:tabs>
                <w:tab w:val="left" w:pos="369"/>
              </w:tabs>
              <w:spacing w:line="0" w:lineRule="atLeast"/>
              <w:ind w:firstLine="0"/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</w:pPr>
            <w:r w:rsidRPr="004C731C"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  <w:t>Bile Acid Sequestrants</w:t>
            </w:r>
          </w:p>
          <w:p w14:paraId="0586DCFD" w14:textId="77777777" w:rsidR="007A2A86" w:rsidRPr="00572F12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b/>
                <w:bCs w:val="0"/>
                <w:sz w:val="24"/>
                <w:szCs w:val="24"/>
                <w:lang w:eastAsia="en-CA"/>
              </w:rPr>
            </w:pPr>
          </w:p>
          <w:p w14:paraId="0A60950C" w14:textId="77777777" w:rsidR="007A2A86" w:rsidRPr="00572F12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b/>
                <w:bCs w:val="0"/>
                <w:sz w:val="24"/>
                <w:szCs w:val="24"/>
                <w:lang w:eastAsia="en-CA"/>
              </w:rPr>
            </w:pPr>
          </w:p>
          <w:p w14:paraId="24682706" w14:textId="36429FB6" w:rsidR="007A2A86" w:rsidRPr="000662DB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72F12">
              <w:rPr>
                <w:b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cholestyramine, colestipol and </w:t>
            </w:r>
            <w:proofErr w:type="spellStart"/>
            <w:r w:rsidRPr="00572F12">
              <w:rPr>
                <w:b/>
                <w:bCs w:val="0"/>
                <w:color w:val="000000"/>
                <w:sz w:val="24"/>
                <w:szCs w:val="24"/>
                <w:shd w:val="clear" w:color="auto" w:fill="FFFFFF"/>
              </w:rPr>
              <w:t>colesevelam</w:t>
            </w:r>
            <w:proofErr w:type="spellEnd"/>
          </w:p>
        </w:tc>
        <w:tc>
          <w:tcPr>
            <w:tcW w:w="2268" w:type="dxa"/>
          </w:tcPr>
          <w:p w14:paraId="2DD6C4B5" w14:textId="7DE9457F" w:rsidR="002C3231" w:rsidRPr="00572F12" w:rsidRDefault="00572F12" w:rsidP="00FE4EE1">
            <w:pPr>
              <w:tabs>
                <w:tab w:val="left" w:pos="369"/>
              </w:tabs>
              <w:spacing w:line="0" w:lineRule="atLeast"/>
              <w:ind w:firstLine="0"/>
              <w:rPr>
                <w:color w:val="000000"/>
                <w:shd w:val="clear" w:color="auto" w:fill="FFFFFF"/>
              </w:rPr>
            </w:pPr>
            <w:r w:rsidRPr="00572F12">
              <w:rPr>
                <w:lang w:val="en-US" w:eastAsia="en-CA"/>
              </w:rPr>
              <w:t>B</w:t>
            </w:r>
            <w:r w:rsidR="007A2A86" w:rsidRPr="00572F12">
              <w:rPr>
                <w:lang w:val="en-US" w:eastAsia="en-CA"/>
              </w:rPr>
              <w:t xml:space="preserve">ind to bile acids in the intestine, forming an insoluble complex that </w:t>
            </w:r>
            <w:r w:rsidRPr="00572F12">
              <w:rPr>
                <w:lang w:val="en-US" w:eastAsia="en-CA"/>
              </w:rPr>
              <w:t>is</w:t>
            </w:r>
            <w:r w:rsidR="007A2A86" w:rsidRPr="00572F12">
              <w:rPr>
                <w:lang w:val="en-US" w:eastAsia="en-CA"/>
              </w:rPr>
              <w:t xml:space="preserve"> excreted in the feces resulting in a depletion of bile acids in the enterohepatic circulation. </w:t>
            </w:r>
            <w:r w:rsidR="007A2A86" w:rsidRPr="00572F12">
              <w:rPr>
                <w:color w:val="000000"/>
                <w:shd w:val="clear" w:color="auto" w:fill="FFFFFF"/>
              </w:rPr>
              <w:t>As bile acid concentrations decrease, more hepatic cholesterol converts to bile acids; this reduces hepatic cholesterol and increases hepatic LDL receptors to uptake LDL, resulting in a decrease in LDL blood concentrations</w:t>
            </w:r>
          </w:p>
          <w:p w14:paraId="2FDBF2ED" w14:textId="77777777" w:rsidR="007A2A86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C0B5DF3" w14:textId="7FB1D336" w:rsidR="007A2A86" w:rsidRPr="00572F12" w:rsidRDefault="00572F12" w:rsidP="00FE4EE1">
            <w:pPr>
              <w:tabs>
                <w:tab w:val="left" w:pos="369"/>
              </w:tabs>
              <w:spacing w:line="0" w:lineRule="atLeast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Use: </w:t>
            </w:r>
            <w:r w:rsidR="007A2A86" w:rsidRPr="00572F12">
              <w:rPr>
                <w:color w:val="000000"/>
                <w:shd w:val="clear" w:color="auto" w:fill="FFFFFF"/>
              </w:rPr>
              <w:t xml:space="preserve">hypercholesterolemia without hypertriglyceridemia. </w:t>
            </w:r>
            <w:r>
              <w:rPr>
                <w:color w:val="000000"/>
                <w:shd w:val="clear" w:color="auto" w:fill="FFFFFF"/>
              </w:rPr>
              <w:t>Used</w:t>
            </w:r>
            <w:r w:rsidR="007A2A86" w:rsidRPr="00572F12">
              <w:rPr>
                <w:color w:val="000000"/>
                <w:shd w:val="clear" w:color="auto" w:fill="FFFFFF"/>
              </w:rPr>
              <w:t xml:space="preserve"> in comb</w:t>
            </w:r>
            <w:r>
              <w:rPr>
                <w:color w:val="000000"/>
                <w:shd w:val="clear" w:color="auto" w:fill="FFFFFF"/>
              </w:rPr>
              <w:t>o</w:t>
            </w:r>
            <w:r w:rsidR="007A2A86" w:rsidRPr="00572F12">
              <w:rPr>
                <w:color w:val="000000"/>
                <w:shd w:val="clear" w:color="auto" w:fill="FFFFFF"/>
              </w:rPr>
              <w:t xml:space="preserve"> with other meds or monotherapy. They </w:t>
            </w:r>
            <w:r>
              <w:rPr>
                <w:color w:val="000000"/>
                <w:shd w:val="clear" w:color="auto" w:fill="FFFFFF"/>
              </w:rPr>
              <w:t>l</w:t>
            </w:r>
            <w:r w:rsidR="007A2A86" w:rsidRPr="00572F12">
              <w:rPr>
                <w:color w:val="000000"/>
                <w:shd w:val="clear" w:color="auto" w:fill="FFFFFF"/>
              </w:rPr>
              <w:t>ower LDL-C</w:t>
            </w:r>
          </w:p>
          <w:p w14:paraId="2400B379" w14:textId="77777777" w:rsidR="007A2A86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AADD883" w14:textId="15FD934F" w:rsidR="007A2A86" w:rsidRPr="000662DB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58E750" w14:textId="77777777" w:rsidR="002C3231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Less tolerated, less potent</w:t>
            </w:r>
          </w:p>
          <w:p w14:paraId="27F02802" w14:textId="77777777" w:rsidR="007A2A86" w:rsidRDefault="007A2A86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BF06D8" w14:textId="18737D79" w:rsidR="007A2A86" w:rsidRPr="007A2A86" w:rsidRDefault="00572F12" w:rsidP="00572F12">
            <w:pPr>
              <w:tabs>
                <w:tab w:val="left" w:pos="369"/>
              </w:tabs>
              <w:spacing w:line="0" w:lineRule="atLeast"/>
              <w:ind w:firstLine="0"/>
              <w:rPr>
                <w:kern w:val="2"/>
                <w:lang w:eastAsia="en-CA"/>
                <w14:ligatures w14:val="standardContextu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Oral dosing; tablet or granules. </w:t>
            </w:r>
            <w:r w:rsidR="007A2A86" w:rsidRPr="007A2A86">
              <w:rPr>
                <w:kern w:val="2"/>
                <w:lang w:eastAsia="en-CA"/>
                <w14:ligatures w14:val="standardContextual"/>
              </w:rPr>
              <w:t>usually in divided doses during the day.  Dosages start low and taper up.</w:t>
            </w:r>
          </w:p>
          <w:p w14:paraId="5EFB2228" w14:textId="77777777" w:rsidR="00572F12" w:rsidRDefault="00572F12" w:rsidP="007A2A86">
            <w:pPr>
              <w:spacing w:after="160" w:line="259" w:lineRule="auto"/>
              <w:ind w:firstLine="0"/>
              <w:rPr>
                <w:kern w:val="2"/>
                <w:lang w:eastAsia="en-CA"/>
                <w14:ligatures w14:val="standardContextual"/>
              </w:rPr>
            </w:pPr>
          </w:p>
          <w:p w14:paraId="6DAC589D" w14:textId="64517371" w:rsidR="007A2A86" w:rsidRPr="000662DB" w:rsidRDefault="007A2A86" w:rsidP="00572F12">
            <w:pPr>
              <w:spacing w:after="160" w:line="259" w:lineRule="auto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AD5368" w14:textId="10376F4C" w:rsidR="007A2A86" w:rsidRPr="00572F12" w:rsidRDefault="007A2A86" w:rsidP="00572F12">
            <w:pPr>
              <w:ind w:firstLine="0"/>
              <w:rPr>
                <w:color w:val="000000"/>
                <w:shd w:val="clear" w:color="auto" w:fill="FFFFFF"/>
              </w:rPr>
            </w:pPr>
            <w:r w:rsidRPr="00572F12">
              <w:rPr>
                <w:lang w:eastAsia="en-CA"/>
              </w:rPr>
              <w:t xml:space="preserve">Side effects are </w:t>
            </w:r>
            <w:r w:rsidR="00572F12" w:rsidRPr="00572F12">
              <w:rPr>
                <w:lang w:eastAsia="en-CA"/>
              </w:rPr>
              <w:t>GI</w:t>
            </w:r>
            <w:r w:rsidRPr="00572F12">
              <w:rPr>
                <w:lang w:eastAsia="en-CA"/>
              </w:rPr>
              <w:t>:</w:t>
            </w:r>
            <w:r w:rsidR="00572F12" w:rsidRPr="00572F12">
              <w:rPr>
                <w:lang w:eastAsia="en-CA"/>
              </w:rPr>
              <w:t xml:space="preserve"> </w:t>
            </w:r>
            <w:r w:rsidRPr="00572F12">
              <w:rPr>
                <w:color w:val="000000"/>
                <w:shd w:val="clear" w:color="auto" w:fill="FFFFFF"/>
              </w:rPr>
              <w:t xml:space="preserve">Bloating, vomiting, heartburn, loss of appetite, indigestion, and upset stomach. </w:t>
            </w:r>
          </w:p>
          <w:p w14:paraId="5B65A5E8" w14:textId="77777777" w:rsidR="007A2A86" w:rsidRPr="00572F12" w:rsidRDefault="007A2A86" w:rsidP="00572F12">
            <w:pPr>
              <w:spacing w:after="160" w:line="259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72F12">
              <w:rPr>
                <w:color w:val="000000"/>
                <w:sz w:val="24"/>
                <w:szCs w:val="24"/>
                <w:shd w:val="clear" w:color="auto" w:fill="FFFFFF"/>
              </w:rPr>
              <w:t xml:space="preserve">Constipation especially in larger doses and older adults.   </w:t>
            </w:r>
          </w:p>
          <w:p w14:paraId="659A8920" w14:textId="6B10794F" w:rsidR="007A2A86" w:rsidRDefault="00572F12" w:rsidP="00572F12">
            <w:pPr>
              <w:spacing w:after="160" w:line="259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72F12">
              <w:rPr>
                <w:color w:val="000000"/>
                <w:shd w:val="clear" w:color="auto" w:fill="FFFFFF"/>
              </w:rPr>
              <w:t>May e</w:t>
            </w:r>
            <w:r w:rsidR="007A2A86" w:rsidRPr="00572F12">
              <w:rPr>
                <w:color w:val="000000"/>
                <w:shd w:val="clear" w:color="auto" w:fill="FFFFFF"/>
              </w:rPr>
              <w:t>xacerbate peptic ulcer disease and hemorrhoids</w:t>
            </w:r>
            <w:r w:rsidR="007A2A86" w:rsidRPr="00572F12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14:paraId="6F776D5B" w14:textId="2C37C110" w:rsidR="00572F12" w:rsidRPr="007A2A86" w:rsidRDefault="00572F12" w:rsidP="00572F12">
            <w:pPr>
              <w:spacing w:after="160" w:line="259" w:lineRule="auto"/>
              <w:ind w:firstLine="0"/>
              <w:rPr>
                <w:kern w:val="2"/>
                <w:lang w:eastAsia="en-CA"/>
                <w14:ligatures w14:val="standardContextual"/>
              </w:rPr>
            </w:pPr>
            <w:r w:rsidRPr="007A2A86">
              <w:rPr>
                <w:kern w:val="2"/>
                <w:lang w:eastAsia="en-CA"/>
                <w14:ligatures w14:val="standardContextual"/>
              </w:rPr>
              <w:t>Risk of GI obstruction.</w:t>
            </w:r>
          </w:p>
          <w:p w14:paraId="53AB354B" w14:textId="0F5971DE" w:rsidR="00572F12" w:rsidRPr="007A2A86" w:rsidRDefault="00572F12" w:rsidP="00572F12">
            <w:pPr>
              <w:spacing w:after="160" w:line="259" w:lineRule="auto"/>
              <w:ind w:firstLine="0"/>
              <w:rPr>
                <w:kern w:val="2"/>
                <w:lang w:eastAsia="en-CA"/>
                <w14:ligatures w14:val="standardContextual"/>
              </w:rPr>
            </w:pPr>
            <w:r w:rsidRPr="007A2A86">
              <w:rPr>
                <w:kern w:val="2"/>
                <w:lang w:eastAsia="en-CA"/>
                <w14:ligatures w14:val="standardContextual"/>
              </w:rPr>
              <w:t xml:space="preserve">Can decrease blood glucose levels. </w:t>
            </w:r>
          </w:p>
          <w:p w14:paraId="28EE1B2F" w14:textId="1AE51EF4" w:rsidR="007A2A86" w:rsidRPr="00EA0ED6" w:rsidRDefault="00572F12" w:rsidP="00572F12">
            <w:pPr>
              <w:ind w:firstLine="0"/>
              <w:rPr>
                <w:sz w:val="24"/>
                <w:szCs w:val="24"/>
              </w:rPr>
            </w:pPr>
            <w:r w:rsidRPr="00572F12">
              <w:t xml:space="preserve">Drug Interactions: </w:t>
            </w:r>
            <w:r w:rsidR="007A2A86" w:rsidRPr="00572F12">
              <w:t>decrease the absorption of many drugs by binding and excreting in the feces if taken at the same time. Med</w:t>
            </w:r>
            <w:r w:rsidRPr="00572F12">
              <w:t xml:space="preserve">s include </w:t>
            </w:r>
            <w:r w:rsidR="007A2A86" w:rsidRPr="00572F12">
              <w:t xml:space="preserve">warfarin, thiazide diuretics, digoxin and some antibiotics.  Take these meds one hour before or 4 hours after </w:t>
            </w:r>
            <w:proofErr w:type="spellStart"/>
            <w:r w:rsidR="007A2A86" w:rsidRPr="00572F12">
              <w:t>colesevelam</w:t>
            </w:r>
            <w:proofErr w:type="spellEnd"/>
            <w:r w:rsidR="007A2A86" w:rsidRPr="00EA0ED6">
              <w:rPr>
                <w:sz w:val="24"/>
                <w:szCs w:val="24"/>
              </w:rPr>
              <w:t xml:space="preserve">. </w:t>
            </w:r>
          </w:p>
          <w:p w14:paraId="07D064A4" w14:textId="4CD1003D" w:rsidR="002C3231" w:rsidRPr="000662DB" w:rsidRDefault="002C3231" w:rsidP="00572F12">
            <w:pPr>
              <w:ind w:left="36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26692AC0" w14:textId="464B53BD" w:rsidR="00572F12" w:rsidRPr="007A2A86" w:rsidRDefault="00572F12" w:rsidP="00572F12">
            <w:pPr>
              <w:spacing w:after="160" w:line="259" w:lineRule="auto"/>
              <w:ind w:firstLine="0"/>
              <w:rPr>
                <w:kern w:val="2"/>
                <w:lang w:eastAsia="en-CA"/>
                <w14:ligatures w14:val="standardContextual"/>
              </w:rPr>
            </w:pPr>
            <w:r w:rsidRPr="007A2A86">
              <w:rPr>
                <w:kern w:val="2"/>
                <w:lang w:eastAsia="en-CA"/>
                <w14:ligatures w14:val="standardContextual"/>
              </w:rPr>
              <w:t>Assess lipid profile before initiating therapy. Lipid reduction can be observed after 2 weeks of therapy.</w:t>
            </w:r>
            <w:r w:rsidRPr="00572F12">
              <w:rPr>
                <w:kern w:val="2"/>
                <w:lang w:eastAsia="en-CA"/>
                <w14:ligatures w14:val="standardContextual"/>
              </w:rPr>
              <w:t xml:space="preserve"> </w:t>
            </w:r>
            <w:r w:rsidRPr="007A2A86">
              <w:rPr>
                <w:kern w:val="2"/>
                <w:lang w:eastAsia="en-CA"/>
                <w14:ligatures w14:val="standardContextual"/>
              </w:rPr>
              <w:t xml:space="preserve">Check </w:t>
            </w:r>
            <w:r w:rsidRPr="007A2A86">
              <w:rPr>
                <w:color w:val="000000"/>
                <w:kern w:val="2"/>
                <w:shd w:val="clear" w:color="auto" w:fill="FFFFFF"/>
                <w14:ligatures w14:val="standardContextual"/>
              </w:rPr>
              <w:t xml:space="preserve">fasting lipid profile 4-12 weeks after initiating therapy, then q 3-12 months. </w:t>
            </w:r>
          </w:p>
          <w:p w14:paraId="45B82E85" w14:textId="436E398A" w:rsidR="002C3231" w:rsidRDefault="00572F12" w:rsidP="00572F12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Increase fluids and fiber to avoid constipation. Monitor BMs</w:t>
            </w:r>
          </w:p>
          <w:p w14:paraId="1981D616" w14:textId="77777777" w:rsidR="00572F12" w:rsidRDefault="00572F12" w:rsidP="00572F12">
            <w:pPr>
              <w:spacing w:after="160" w:line="259" w:lineRule="auto"/>
              <w:ind w:firstLine="0"/>
              <w:rPr>
                <w:kern w:val="2"/>
                <w:lang w:eastAsia="en-CA"/>
                <w14:ligatures w14:val="standardContextual"/>
              </w:rPr>
            </w:pPr>
          </w:p>
          <w:p w14:paraId="7571FDA1" w14:textId="311BFB3B" w:rsidR="00572F12" w:rsidRPr="007A2A86" w:rsidRDefault="00572F12" w:rsidP="00572F12">
            <w:pPr>
              <w:spacing w:after="160" w:line="259" w:lineRule="auto"/>
              <w:ind w:firstLine="0"/>
              <w:rPr>
                <w:kern w:val="2"/>
                <w:lang w:eastAsia="en-CA"/>
                <w14:ligatures w14:val="standardContextual"/>
              </w:rPr>
            </w:pPr>
            <w:r w:rsidRPr="007A2A86">
              <w:rPr>
                <w:kern w:val="2"/>
                <w:lang w:eastAsia="en-CA"/>
                <w14:ligatures w14:val="standardContextual"/>
              </w:rPr>
              <w:t>Monitor blood glucose in diabetic clients.</w:t>
            </w:r>
          </w:p>
          <w:p w14:paraId="60B1A6BE" w14:textId="71EAD029" w:rsidR="00572F12" w:rsidRPr="00572F12" w:rsidRDefault="00572F12" w:rsidP="00572F12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2F12" w:rsidRPr="000662DB" w14:paraId="6212CD22" w14:textId="77777777" w:rsidTr="00A2653A">
        <w:tc>
          <w:tcPr>
            <w:tcW w:w="1980" w:type="dxa"/>
          </w:tcPr>
          <w:p w14:paraId="7E73CC95" w14:textId="3E44957F" w:rsidR="002C3231" w:rsidRPr="00A2653A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</w:pPr>
            <w:r w:rsidRPr="00A2653A"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  <w:lastRenderedPageBreak/>
              <w:t>Fibric Acid Derivatives (</w:t>
            </w:r>
            <w:r w:rsidR="006C12AD" w:rsidRPr="004C731C"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  <w:t>Fibrates</w:t>
            </w:r>
            <w:r w:rsidRPr="00A2653A"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  <w:t>)</w:t>
            </w:r>
          </w:p>
          <w:p w14:paraId="390EC137" w14:textId="77777777" w:rsidR="00A2653A" w:rsidRPr="00A2653A" w:rsidRDefault="00A2653A" w:rsidP="00A2653A">
            <w:pPr>
              <w:keepNext/>
              <w:keepLines/>
              <w:spacing w:before="160" w:after="80" w:line="259" w:lineRule="auto"/>
              <w:ind w:firstLine="0"/>
              <w:outlineLvl w:val="1"/>
              <w:rPr>
                <w:rFonts w:eastAsiaTheme="majorEastAsia" w:cstheme="minorHAnsi"/>
                <w:kern w:val="2"/>
                <w:lang w:eastAsia="en-CA"/>
                <w14:ligatures w14:val="standardContextual"/>
              </w:rPr>
            </w:pPr>
            <w:r w:rsidRPr="00A2653A">
              <w:rPr>
                <w:rFonts w:eastAsiaTheme="majorEastAsia" w:cstheme="minorHAnsi"/>
                <w:b/>
                <w:bCs w:val="0"/>
                <w:kern w:val="2"/>
                <w:lang w:eastAsia="en-CA"/>
                <w14:ligatures w14:val="standardContextual"/>
              </w:rPr>
              <w:t>Prototype</w:t>
            </w:r>
            <w:r w:rsidRPr="00A2653A">
              <w:rPr>
                <w:rFonts w:eastAsiaTheme="majorEastAsia" w:cstheme="minorHAnsi"/>
                <w:kern w:val="2"/>
                <w:lang w:eastAsia="en-CA"/>
                <w14:ligatures w14:val="standardContextual"/>
              </w:rPr>
              <w:t>:</w:t>
            </w:r>
          </w:p>
          <w:p w14:paraId="2EE00AC9" w14:textId="61259219" w:rsidR="00A2653A" w:rsidRPr="00A2653A" w:rsidRDefault="00A2653A" w:rsidP="00A2653A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2653A">
              <w:rPr>
                <w:bCs w:val="0"/>
                <w:kern w:val="2"/>
                <w:lang w:eastAsia="en-CA"/>
                <w14:ligatures w14:val="standardContextual"/>
              </w:rPr>
              <w:t>Gemfibrozil</w:t>
            </w:r>
          </w:p>
          <w:p w14:paraId="01ADCC18" w14:textId="77777777" w:rsidR="00A2653A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1E8A5DD" w14:textId="77777777" w:rsidR="00A2653A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814FD15" w14:textId="77777777" w:rsidR="00A2653A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979C4B1" w14:textId="0EA7CA48" w:rsidR="00A2653A" w:rsidRPr="000662DB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461A0" w14:textId="69F8D3D8" w:rsidR="00A2653A" w:rsidRPr="00A2653A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lang w:eastAsia="en-CA"/>
              </w:rPr>
            </w:pPr>
            <w:r w:rsidRPr="00A2653A">
              <w:rPr>
                <w:rFonts w:cstheme="minorHAnsi"/>
                <w:lang w:eastAsia="en-CA"/>
              </w:rPr>
              <w:t>Decrease</w:t>
            </w:r>
            <w:r w:rsidRPr="00A2653A">
              <w:rPr>
                <w:rFonts w:cstheme="minorHAnsi"/>
                <w:lang w:eastAsia="en-CA"/>
              </w:rPr>
              <w:t xml:space="preserve"> plasma TG levels by lowering VLDL levels. They bind to PPAR-alpha, breaking down particles that make TGs in the liver. They also breakdown cholesterol and suppress fatty acids from adipose tissue, and </w:t>
            </w:r>
            <w:r w:rsidRPr="00A2653A">
              <w:rPr>
                <w:rFonts w:cstheme="minorHAnsi"/>
                <w:lang w:eastAsia="en-CA"/>
              </w:rPr>
              <w:t>also</w:t>
            </w:r>
            <w:r w:rsidRPr="00A2653A">
              <w:rPr>
                <w:rFonts w:cstheme="minorHAnsi"/>
                <w:lang w:eastAsia="en-CA"/>
              </w:rPr>
              <w:t xml:space="preserve"> increase the excretion of cholesterol in bile</w:t>
            </w:r>
            <w:r w:rsidRPr="00A2653A">
              <w:rPr>
                <w:rFonts w:cstheme="minorHAnsi"/>
                <w:lang w:eastAsia="en-CA"/>
              </w:rPr>
              <w:t>.</w:t>
            </w:r>
          </w:p>
          <w:p w14:paraId="77FB22D0" w14:textId="77777777" w:rsidR="00A2653A" w:rsidRPr="00A2653A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lang w:eastAsia="en-CA"/>
              </w:rPr>
            </w:pPr>
          </w:p>
          <w:p w14:paraId="22148495" w14:textId="3A91982D" w:rsidR="002C3231" w:rsidRPr="00A2653A" w:rsidRDefault="00A2653A" w:rsidP="00A2653A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</w:rPr>
            </w:pPr>
            <w:r w:rsidRPr="00A2653A">
              <w:rPr>
                <w:lang w:eastAsia="en-CA"/>
              </w:rPr>
              <w:t xml:space="preserve">Use: </w:t>
            </w:r>
            <w:r w:rsidRPr="00A2653A">
              <w:rPr>
                <w:lang w:eastAsia="en-CA"/>
              </w:rPr>
              <w:t xml:space="preserve">treat hypercholesterolemia and mixed dyslipidemia.  It is used mostly to lower triglyceride levels, but </w:t>
            </w:r>
            <w:r w:rsidRPr="00A2653A">
              <w:rPr>
                <w:lang w:eastAsia="en-CA"/>
              </w:rPr>
              <w:t xml:space="preserve">it </w:t>
            </w:r>
            <w:r w:rsidRPr="00A2653A">
              <w:rPr>
                <w:lang w:eastAsia="en-CA"/>
              </w:rPr>
              <w:t>also raise</w:t>
            </w:r>
            <w:r w:rsidRPr="00A2653A">
              <w:rPr>
                <w:lang w:eastAsia="en-CA"/>
              </w:rPr>
              <w:t>s</w:t>
            </w:r>
            <w:r w:rsidRPr="00A2653A">
              <w:rPr>
                <w:lang w:eastAsia="en-CA"/>
              </w:rPr>
              <w:t xml:space="preserve"> HDL levels. It has no effect on LDL levels</w:t>
            </w:r>
          </w:p>
        </w:tc>
        <w:tc>
          <w:tcPr>
            <w:tcW w:w="2551" w:type="dxa"/>
          </w:tcPr>
          <w:p w14:paraId="4FB10D49" w14:textId="77777777" w:rsidR="002C3231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Oral dosing; take 30 min prior to eating. BID.</w:t>
            </w:r>
          </w:p>
          <w:p w14:paraId="4B92CC0B" w14:textId="4C5C05B5" w:rsidR="00A2653A" w:rsidRPr="000662DB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Onset of action 2-3 days</w:t>
            </w:r>
            <w:r w:rsidR="007A2A86">
              <w:rPr>
                <w:rFonts w:ascii="Calibri" w:eastAsia="Calibri" w:hAnsi="Calibri" w:cs="Calibri"/>
                <w:sz w:val="20"/>
                <w:szCs w:val="20"/>
              </w:rPr>
              <w:t>, peak 4 weeks.</w:t>
            </w:r>
          </w:p>
        </w:tc>
        <w:tc>
          <w:tcPr>
            <w:tcW w:w="3402" w:type="dxa"/>
          </w:tcPr>
          <w:p w14:paraId="11A6E142" w14:textId="422CCAF1" w:rsidR="00A2653A" w:rsidRPr="00A2653A" w:rsidRDefault="00A2653A" w:rsidP="00A2653A">
            <w:pPr>
              <w:ind w:firstLine="0"/>
              <w:rPr>
                <w:lang w:eastAsia="en-CA"/>
              </w:rPr>
            </w:pPr>
            <w:r>
              <w:rPr>
                <w:lang w:eastAsia="en-CA"/>
              </w:rPr>
              <w:t>Most common: epigastric pain, diarrhea, abd</w:t>
            </w:r>
            <w:r w:rsidR="007A2A86">
              <w:rPr>
                <w:lang w:eastAsia="en-CA"/>
              </w:rPr>
              <w:t>ominal</w:t>
            </w:r>
            <w:r>
              <w:rPr>
                <w:lang w:eastAsia="en-CA"/>
              </w:rPr>
              <w:t xml:space="preserve"> pain</w:t>
            </w:r>
          </w:p>
          <w:p w14:paraId="075C11B6" w14:textId="77777777" w:rsidR="007A2A86" w:rsidRDefault="007A2A86" w:rsidP="00A2653A">
            <w:pPr>
              <w:rPr>
                <w:sz w:val="24"/>
                <w:szCs w:val="24"/>
                <w:lang w:eastAsia="en-CA"/>
              </w:rPr>
            </w:pPr>
          </w:p>
          <w:p w14:paraId="0C80674B" w14:textId="63DC7CD6" w:rsidR="00A2653A" w:rsidRPr="007A2A86" w:rsidRDefault="007A2A86" w:rsidP="007A2A86">
            <w:pPr>
              <w:ind w:firstLine="0"/>
              <w:rPr>
                <w:lang w:eastAsia="en-CA"/>
              </w:rPr>
            </w:pPr>
            <w:r w:rsidRPr="007A2A86">
              <w:rPr>
                <w:lang w:eastAsia="en-CA"/>
              </w:rPr>
              <w:t>Risk of</w:t>
            </w:r>
            <w:r w:rsidR="00A2653A" w:rsidRPr="007A2A86">
              <w:rPr>
                <w:lang w:eastAsia="en-CA"/>
              </w:rPr>
              <w:t xml:space="preserve"> hepatic dysfunction, monitor liver enzymes </w:t>
            </w:r>
          </w:p>
          <w:p w14:paraId="5E74E1F2" w14:textId="77777777" w:rsidR="007A2A86" w:rsidRDefault="007A2A86" w:rsidP="007A2A86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5075521" w14:textId="1CAE1C00" w:rsidR="00A2653A" w:rsidRPr="007A2A86" w:rsidRDefault="00A2653A" w:rsidP="007A2A86">
            <w:pPr>
              <w:ind w:firstLine="0"/>
              <w:rPr>
                <w:lang w:eastAsia="en-CA"/>
              </w:rPr>
            </w:pPr>
            <w:r w:rsidRPr="007A2A86">
              <w:rPr>
                <w:color w:val="000000"/>
                <w:shd w:val="clear" w:color="auto" w:fill="FFFFFF"/>
              </w:rPr>
              <w:t>Contraindicated if there is severe renal impairment. </w:t>
            </w:r>
          </w:p>
          <w:p w14:paraId="718556F5" w14:textId="77777777" w:rsidR="002C3231" w:rsidRPr="007A2A86" w:rsidRDefault="00A2653A" w:rsidP="007A2A86">
            <w:pPr>
              <w:ind w:firstLine="0"/>
              <w:contextualSpacing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A2A86">
              <w:rPr>
                <w:lang w:eastAsia="en-CA"/>
              </w:rPr>
              <w:t>May cause gallstones due to increased biliary cholesterol saturation</w:t>
            </w:r>
          </w:p>
          <w:p w14:paraId="6D7D9496" w14:textId="77777777" w:rsidR="007A2A86" w:rsidRDefault="007A2A86" w:rsidP="007A2A86">
            <w:pPr>
              <w:spacing w:after="160" w:line="259" w:lineRule="auto"/>
              <w:ind w:firstLine="0"/>
              <w:rPr>
                <w:lang w:eastAsia="en-CA"/>
              </w:rPr>
            </w:pPr>
            <w:r w:rsidRPr="007A2A86">
              <w:rPr>
                <w:lang w:eastAsia="en-CA"/>
              </w:rPr>
              <w:t xml:space="preserve">Drug Interactions: </w:t>
            </w:r>
          </w:p>
          <w:p w14:paraId="70D96697" w14:textId="23FAF45F" w:rsidR="00A2653A" w:rsidRPr="007A2A86" w:rsidRDefault="00A2653A" w:rsidP="007A2A86">
            <w:pPr>
              <w:spacing w:after="160" w:line="259" w:lineRule="auto"/>
              <w:ind w:firstLine="0"/>
              <w:rPr>
                <w:lang w:eastAsia="en-CA"/>
              </w:rPr>
            </w:pPr>
            <w:r w:rsidRPr="007A2A86">
              <w:rPr>
                <w:lang w:eastAsia="en-CA"/>
              </w:rPr>
              <w:t xml:space="preserve">Statins: increased risk of statin-induced myopathy, leading to rhabdomyolysis. Monitor for muscle pain </w:t>
            </w:r>
          </w:p>
          <w:p w14:paraId="5F41A3AB" w14:textId="77777777" w:rsidR="00A2653A" w:rsidRPr="007A2A86" w:rsidRDefault="00A2653A" w:rsidP="007A2A86">
            <w:pPr>
              <w:spacing w:after="160" w:line="259" w:lineRule="auto"/>
              <w:ind w:firstLine="0"/>
              <w:rPr>
                <w:lang w:eastAsia="en-CA"/>
              </w:rPr>
            </w:pPr>
            <w:r w:rsidRPr="007A2A86">
              <w:rPr>
                <w:lang w:eastAsia="en-CA"/>
              </w:rPr>
              <w:t>Warfarin: displaces warfarin from albumin leading to increased anticoagulant effects. Monitor INR and may need to reduce warfarin dosage.</w:t>
            </w:r>
          </w:p>
          <w:p w14:paraId="60B1166E" w14:textId="7559A542" w:rsidR="00A2653A" w:rsidRPr="000662DB" w:rsidRDefault="00A2653A" w:rsidP="00A2653A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7A6B609" w14:textId="094E1058" w:rsidR="00A2653A" w:rsidRPr="00A2653A" w:rsidRDefault="00A2653A" w:rsidP="00A2653A">
            <w:pPr>
              <w:spacing w:after="160" w:line="259" w:lineRule="auto"/>
              <w:ind w:firstLine="0"/>
              <w:rPr>
                <w:lang w:eastAsia="en-CA"/>
              </w:rPr>
            </w:pPr>
            <w:r w:rsidRPr="00A2653A">
              <w:rPr>
                <w:lang w:eastAsia="en-CA"/>
              </w:rPr>
              <w:t>Monitor labs: prior to therapy -lipid</w:t>
            </w:r>
            <w:r w:rsidRPr="00A2653A">
              <w:rPr>
                <w:lang w:eastAsia="en-CA"/>
              </w:rPr>
              <w:t xml:space="preserve"> levels (total cholesterol, LDL, HDL, TG), liver enzymes, CBC, Lytes and glucose</w:t>
            </w:r>
          </w:p>
          <w:p w14:paraId="04B65620" w14:textId="354250F1" w:rsidR="002C3231" w:rsidRPr="00A2653A" w:rsidRDefault="007A2A86" w:rsidP="007A2A86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Monitor CBC and electrolytes q 3-6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mos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then then yearly.</w:t>
            </w:r>
          </w:p>
        </w:tc>
      </w:tr>
      <w:tr w:rsidR="00572F12" w:rsidRPr="000662DB" w14:paraId="58236027" w14:textId="77777777" w:rsidTr="009E3B3B">
        <w:trPr>
          <w:trHeight w:val="1125"/>
        </w:trPr>
        <w:tc>
          <w:tcPr>
            <w:tcW w:w="1980" w:type="dxa"/>
            <w:shd w:val="clear" w:color="auto" w:fill="FFFFFF" w:themeFill="background1"/>
          </w:tcPr>
          <w:p w14:paraId="5C3310B4" w14:textId="77777777" w:rsidR="002C3231" w:rsidRDefault="00A2653A" w:rsidP="00FE4EE1">
            <w:pPr>
              <w:tabs>
                <w:tab w:val="left" w:pos="369"/>
              </w:tabs>
              <w:spacing w:line="0" w:lineRule="atLeast"/>
              <w:ind w:firstLine="0"/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</w:pPr>
            <w:r w:rsidRPr="004C731C">
              <w:rPr>
                <w:b/>
                <w:bCs w:val="0"/>
                <w:kern w:val="2"/>
                <w:sz w:val="24"/>
                <w:szCs w:val="24"/>
                <w:lang w:eastAsia="en-CA"/>
                <w14:ligatures w14:val="standardContextual"/>
              </w:rPr>
              <w:t>Cholesterol Absorption Inhibitors</w:t>
            </w:r>
          </w:p>
          <w:p w14:paraId="6AE627A9" w14:textId="77777777" w:rsidR="00572F12" w:rsidRDefault="00572F12" w:rsidP="00FE4EE1">
            <w:pPr>
              <w:tabs>
                <w:tab w:val="left" w:pos="369"/>
              </w:tabs>
              <w:spacing w:line="0" w:lineRule="atLeast"/>
              <w:ind w:firstLine="0"/>
              <w:rPr>
                <w:b/>
                <w:bCs w:val="0"/>
                <w:color w:val="FF0000"/>
                <w:sz w:val="24"/>
                <w:szCs w:val="24"/>
                <w:lang w:eastAsia="en-CA"/>
              </w:rPr>
            </w:pPr>
          </w:p>
          <w:p w14:paraId="3A804880" w14:textId="25B99123" w:rsidR="00572F12" w:rsidRPr="00572F12" w:rsidRDefault="00572F12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FF87C86" w14:textId="77777777" w:rsidR="009E3B3B" w:rsidRPr="009E3B3B" w:rsidRDefault="009E3B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lang w:val="en-US" w:eastAsia="en-CA"/>
              </w:rPr>
            </w:pPr>
            <w:r w:rsidRPr="009E3B3B">
              <w:rPr>
                <w:rFonts w:cstheme="minorHAnsi"/>
                <w:lang w:val="en-US" w:eastAsia="en-CA"/>
              </w:rPr>
              <w:t>Ezetimibe blocks the absorption of cholesterol in the small intestines to reduce LDL.</w:t>
            </w:r>
          </w:p>
          <w:p w14:paraId="2A87E47D" w14:textId="2E25E18A" w:rsidR="002C3231" w:rsidRPr="009E3B3B" w:rsidRDefault="009E3B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</w:rPr>
            </w:pPr>
            <w:r w:rsidRPr="009E3B3B">
              <w:rPr>
                <w:rFonts w:cstheme="minorHAnsi"/>
                <w:lang w:val="en-US" w:eastAsia="en-CA"/>
              </w:rPr>
              <w:t>U</w:t>
            </w:r>
            <w:r w:rsidRPr="009E3B3B">
              <w:rPr>
                <w:rFonts w:cstheme="minorHAnsi"/>
                <w:lang w:val="en-US" w:eastAsia="en-CA"/>
              </w:rPr>
              <w:t>sed alone or with other antilipemic drugs such as HMG-CoA inhibitors</w:t>
            </w:r>
            <w:r w:rsidRPr="009E3B3B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r w:rsidRPr="009E3B3B">
              <w:rPr>
                <w:rFonts w:eastAsia="Times New Roman" w:cstheme="minorHAnsi"/>
                <w:color w:val="000000"/>
                <w:lang w:eastAsia="en-CA"/>
              </w:rPr>
              <w:t xml:space="preserve">can reduce total cholesterol and LDL levels by up to 20%.   </w:t>
            </w:r>
          </w:p>
        </w:tc>
        <w:tc>
          <w:tcPr>
            <w:tcW w:w="2551" w:type="dxa"/>
            <w:shd w:val="clear" w:color="auto" w:fill="FFFFFF" w:themeFill="background1"/>
          </w:tcPr>
          <w:p w14:paraId="73D249EC" w14:textId="3530E221" w:rsidR="002C3231" w:rsidRPr="000662DB" w:rsidRDefault="009E3B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Oral dosing, once a day. With or without food.</w:t>
            </w:r>
          </w:p>
        </w:tc>
        <w:tc>
          <w:tcPr>
            <w:tcW w:w="3402" w:type="dxa"/>
            <w:shd w:val="clear" w:color="auto" w:fill="FFFFFF" w:themeFill="background1"/>
          </w:tcPr>
          <w:p w14:paraId="0D497391" w14:textId="77777777" w:rsidR="009E3B3B" w:rsidRPr="009E3B3B" w:rsidRDefault="009E3B3B" w:rsidP="009E3B3B">
            <w:pPr>
              <w:ind w:firstLine="0"/>
              <w:rPr>
                <w:rFonts w:cstheme="minorHAnsi"/>
                <w:lang w:eastAsia="en-CA"/>
              </w:rPr>
            </w:pPr>
            <w:r w:rsidRPr="009E3B3B">
              <w:rPr>
                <w:rFonts w:cstheme="minorHAnsi"/>
                <w:lang w:eastAsia="en-CA"/>
              </w:rPr>
              <w:t>Side effects: runny nose, sore throat, headache</w:t>
            </w:r>
          </w:p>
          <w:p w14:paraId="00791305" w14:textId="77777777" w:rsidR="002C3231" w:rsidRDefault="002C3231" w:rsidP="009E3B3B">
            <w:pPr>
              <w:ind w:left="227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6614E264" w14:textId="77777777" w:rsidR="009E3B3B" w:rsidRPr="009E3B3B" w:rsidRDefault="009E3B3B" w:rsidP="009E3B3B">
            <w:pPr>
              <w:shd w:val="clear" w:color="auto" w:fill="FFFFFF"/>
              <w:spacing w:before="360"/>
              <w:ind w:firstLine="0"/>
              <w:rPr>
                <w:rFonts w:eastAsia="Times New Roman" w:cstheme="minorHAnsi"/>
                <w:color w:val="000000"/>
                <w:lang w:eastAsia="en-CA"/>
              </w:rPr>
            </w:pPr>
            <w:r w:rsidRPr="009E3B3B">
              <w:rPr>
                <w:rFonts w:eastAsia="Times New Roman" w:cstheme="minorHAnsi"/>
                <w:color w:val="000000"/>
                <w:lang w:eastAsia="en-CA"/>
              </w:rPr>
              <w:t xml:space="preserve">Drug interactions: risk of gallstones if given with fibrates.  </w:t>
            </w:r>
          </w:p>
          <w:p w14:paraId="044EF948" w14:textId="64BDF2B4" w:rsidR="009E3B3B" w:rsidRPr="009E3B3B" w:rsidRDefault="009E3B3B" w:rsidP="009E3B3B">
            <w:pPr>
              <w:shd w:val="clear" w:color="auto" w:fill="FFFFFF"/>
              <w:spacing w:before="360"/>
              <w:ind w:firstLine="0"/>
              <w:rPr>
                <w:rFonts w:eastAsia="Times New Roman" w:cstheme="minorHAnsi"/>
                <w:color w:val="000000"/>
                <w:lang w:eastAsia="en-CA"/>
              </w:rPr>
            </w:pPr>
            <w:r w:rsidRPr="009E3B3B">
              <w:rPr>
                <w:rFonts w:eastAsia="Times New Roman" w:cstheme="minorHAnsi"/>
                <w:color w:val="000000"/>
                <w:lang w:eastAsia="en-CA"/>
              </w:rPr>
              <w:t>Slight increased risk of liver toxicity with statins.</w:t>
            </w:r>
          </w:p>
          <w:p w14:paraId="6383E975" w14:textId="2DC0F11C" w:rsidR="009E3B3B" w:rsidRPr="009E3B3B" w:rsidRDefault="009E3B3B" w:rsidP="009E3B3B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Do not give if pregnant if also on statin therapy. </w:t>
            </w:r>
          </w:p>
        </w:tc>
        <w:tc>
          <w:tcPr>
            <w:tcW w:w="3686" w:type="dxa"/>
          </w:tcPr>
          <w:p w14:paraId="4854C8A3" w14:textId="77777777" w:rsidR="009E3B3B" w:rsidRPr="009E3B3B" w:rsidRDefault="009E3B3B" w:rsidP="009E3B3B">
            <w:pPr>
              <w:shd w:val="clear" w:color="auto" w:fill="FFFFFF"/>
              <w:spacing w:after="300" w:line="336" w:lineRule="atLeast"/>
              <w:ind w:firstLine="0"/>
              <w:outlineLvl w:val="2"/>
              <w:rPr>
                <w:rFonts w:eastAsia="Times New Roman" w:cstheme="minorHAnsi"/>
                <w:color w:val="000000"/>
                <w:lang w:eastAsia="en-CA"/>
              </w:rPr>
            </w:pPr>
            <w:r w:rsidRPr="009E3B3B">
              <w:rPr>
                <w:rFonts w:eastAsia="Times New Roman" w:cstheme="minorHAnsi"/>
                <w:color w:val="000000"/>
                <w:lang w:eastAsia="en-CA"/>
              </w:rPr>
              <w:lastRenderedPageBreak/>
              <w:t>La</w:t>
            </w:r>
            <w:r w:rsidRPr="009E3B3B">
              <w:rPr>
                <w:rFonts w:eastAsia="Times New Roman" w:cstheme="minorHAnsi"/>
                <w:color w:val="000000"/>
                <w:lang w:eastAsia="en-CA"/>
              </w:rPr>
              <w:t xml:space="preserve">bs: prior to therapy, liver enzymes and lipid panel. </w:t>
            </w:r>
          </w:p>
          <w:p w14:paraId="1229EEC4" w14:textId="0263C3A2" w:rsidR="009E3B3B" w:rsidRPr="009E3B3B" w:rsidRDefault="009E3B3B" w:rsidP="009E3B3B">
            <w:pPr>
              <w:shd w:val="clear" w:color="auto" w:fill="FFFFFF"/>
              <w:spacing w:before="360" w:after="300" w:line="336" w:lineRule="atLeast"/>
              <w:ind w:firstLine="0"/>
              <w:outlineLvl w:val="2"/>
              <w:rPr>
                <w:rFonts w:eastAsia="Times New Roman" w:cstheme="minorHAnsi"/>
                <w:color w:val="000000"/>
                <w:lang w:eastAsia="en-CA"/>
              </w:rPr>
            </w:pPr>
            <w:r w:rsidRPr="009E3B3B">
              <w:rPr>
                <w:rFonts w:eastAsia="Times New Roman" w:cstheme="minorHAnsi"/>
                <w:color w:val="000000"/>
                <w:lang w:eastAsia="en-CA"/>
              </w:rPr>
              <w:t>Monitor lipid panel 2-4 weeks after initiation, and then regularly.</w:t>
            </w:r>
          </w:p>
          <w:p w14:paraId="6DB9938A" w14:textId="5DEE7D96" w:rsidR="009E3B3B" w:rsidRPr="009E3B3B" w:rsidRDefault="009E3B3B" w:rsidP="009E3B3B">
            <w:pPr>
              <w:shd w:val="clear" w:color="auto" w:fill="FFFFFF"/>
              <w:spacing w:before="360"/>
              <w:ind w:firstLine="0"/>
              <w:rPr>
                <w:rFonts w:eastAsia="Times New Roman" w:cstheme="minorHAnsi"/>
                <w:color w:val="000000"/>
                <w:lang w:eastAsia="en-CA"/>
              </w:rPr>
            </w:pPr>
            <w:r w:rsidRPr="009E3B3B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14:paraId="56A0211E" w14:textId="77777777" w:rsidR="002C3231" w:rsidRPr="009E3B3B" w:rsidRDefault="002C3231" w:rsidP="009E3B3B">
            <w:pPr>
              <w:shd w:val="clear" w:color="auto" w:fill="FFFFFF"/>
              <w:spacing w:before="3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7432637" w14:textId="77777777" w:rsidR="005634F2" w:rsidRDefault="005634F2"/>
    <w:sectPr w:rsidR="005634F2" w:rsidSect="002C323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169"/>
    <w:multiLevelType w:val="hybridMultilevel"/>
    <w:tmpl w:val="DA605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E6F"/>
    <w:multiLevelType w:val="hybridMultilevel"/>
    <w:tmpl w:val="0AB2BA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037"/>
    <w:multiLevelType w:val="hybridMultilevel"/>
    <w:tmpl w:val="DA8A8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55F4"/>
    <w:multiLevelType w:val="hybridMultilevel"/>
    <w:tmpl w:val="93467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0831"/>
    <w:multiLevelType w:val="hybridMultilevel"/>
    <w:tmpl w:val="C0480C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0569A"/>
    <w:multiLevelType w:val="hybridMultilevel"/>
    <w:tmpl w:val="A4281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70EC9"/>
    <w:multiLevelType w:val="multilevel"/>
    <w:tmpl w:val="C78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62CA1"/>
    <w:multiLevelType w:val="hybridMultilevel"/>
    <w:tmpl w:val="176AC6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1DA0"/>
    <w:multiLevelType w:val="hybridMultilevel"/>
    <w:tmpl w:val="037C04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6B5351"/>
    <w:multiLevelType w:val="hybridMultilevel"/>
    <w:tmpl w:val="461856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B4C49"/>
    <w:multiLevelType w:val="hybridMultilevel"/>
    <w:tmpl w:val="78DAC26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24148"/>
    <w:multiLevelType w:val="hybridMultilevel"/>
    <w:tmpl w:val="663EB6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3123C"/>
    <w:multiLevelType w:val="hybridMultilevel"/>
    <w:tmpl w:val="6C207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B7905"/>
    <w:multiLevelType w:val="hybridMultilevel"/>
    <w:tmpl w:val="075CCB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266128">
    <w:abstractNumId w:val="10"/>
  </w:num>
  <w:num w:numId="2" w16cid:durableId="723141116">
    <w:abstractNumId w:val="5"/>
  </w:num>
  <w:num w:numId="3" w16cid:durableId="546915138">
    <w:abstractNumId w:val="11"/>
  </w:num>
  <w:num w:numId="4" w16cid:durableId="1797554142">
    <w:abstractNumId w:val="7"/>
  </w:num>
  <w:num w:numId="5" w16cid:durableId="1609654997">
    <w:abstractNumId w:val="13"/>
  </w:num>
  <w:num w:numId="6" w16cid:durableId="923952924">
    <w:abstractNumId w:val="4"/>
  </w:num>
  <w:num w:numId="7" w16cid:durableId="238485856">
    <w:abstractNumId w:val="9"/>
  </w:num>
  <w:num w:numId="8" w16cid:durableId="1585185265">
    <w:abstractNumId w:val="8"/>
  </w:num>
  <w:num w:numId="9" w16cid:durableId="1579436907">
    <w:abstractNumId w:val="0"/>
  </w:num>
  <w:num w:numId="10" w16cid:durableId="654912701">
    <w:abstractNumId w:val="1"/>
  </w:num>
  <w:num w:numId="11" w16cid:durableId="978849435">
    <w:abstractNumId w:val="2"/>
  </w:num>
  <w:num w:numId="12" w16cid:durableId="1493527754">
    <w:abstractNumId w:val="6"/>
  </w:num>
  <w:num w:numId="13" w16cid:durableId="535696705">
    <w:abstractNumId w:val="3"/>
  </w:num>
  <w:num w:numId="14" w16cid:durableId="265962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DF"/>
    <w:rsid w:val="000D7DE8"/>
    <w:rsid w:val="001B5E5A"/>
    <w:rsid w:val="002A68DF"/>
    <w:rsid w:val="002C3231"/>
    <w:rsid w:val="003B1079"/>
    <w:rsid w:val="004C731C"/>
    <w:rsid w:val="005634F2"/>
    <w:rsid w:val="00572F12"/>
    <w:rsid w:val="006853F7"/>
    <w:rsid w:val="006C12AD"/>
    <w:rsid w:val="006D28F6"/>
    <w:rsid w:val="007A2A86"/>
    <w:rsid w:val="007C5AB5"/>
    <w:rsid w:val="009E3B3B"/>
    <w:rsid w:val="00A2653A"/>
    <w:rsid w:val="00C42D05"/>
    <w:rsid w:val="00D3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DEF9"/>
  <w15:chartTrackingRefBased/>
  <w15:docId w15:val="{2116326B-1F10-409D-973C-20B0D33B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DF"/>
    <w:pPr>
      <w:spacing w:after="0" w:line="240" w:lineRule="auto"/>
      <w:ind w:firstLine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8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8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8D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2A6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8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8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8D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68DF"/>
  </w:style>
  <w:style w:type="table" w:styleId="TableGrid">
    <w:name w:val="Table Grid"/>
    <w:basedOn w:val="TableNormal"/>
    <w:uiPriority w:val="39"/>
    <w:rsid w:val="002A68DF"/>
    <w:pPr>
      <w:spacing w:after="0" w:line="240" w:lineRule="auto"/>
      <w:ind w:firstLine="72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C3231"/>
    <w:pPr>
      <w:spacing w:after="0" w:line="240" w:lineRule="auto"/>
      <w:ind w:firstLine="720"/>
    </w:pPr>
    <w:rPr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</cp:lastModifiedBy>
  <cp:revision>2</cp:revision>
  <dcterms:created xsi:type="dcterms:W3CDTF">2026-03-30T16:58:00Z</dcterms:created>
  <dcterms:modified xsi:type="dcterms:W3CDTF">2026-03-30T22:06:00Z</dcterms:modified>
</cp:coreProperties>
</file>