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EC65" w14:textId="77777777" w:rsidR="003C5C3F" w:rsidRPr="000662DB" w:rsidRDefault="003C5C3F" w:rsidP="003C5C3F">
      <w:pPr>
        <w:spacing w:after="0" w:line="240" w:lineRule="auto"/>
        <w:ind w:firstLine="720"/>
        <w:rPr>
          <w:rFonts w:ascii="Calibri" w:eastAsia="Calibri" w:hAnsi="Calibri" w:cs="Times New Roman"/>
          <w:bCs/>
        </w:rPr>
      </w:pPr>
    </w:p>
    <w:p w14:paraId="4DBABD2D" w14:textId="77777777" w:rsidR="003C5C3F" w:rsidRPr="00AC711E" w:rsidRDefault="003C5C3F" w:rsidP="003C5C3F">
      <w:pPr>
        <w:spacing w:after="0" w:line="240" w:lineRule="auto"/>
        <w:ind w:firstLine="720"/>
        <w:rPr>
          <w:rFonts w:ascii="Calibri" w:eastAsia="Calibri" w:hAnsi="Calibri" w:cs="Times New Roman"/>
          <w:bCs/>
          <w:sz w:val="28"/>
          <w:szCs w:val="28"/>
        </w:rPr>
      </w:pPr>
    </w:p>
    <w:tbl>
      <w:tblPr>
        <w:tblStyle w:val="TableGrid1"/>
        <w:tblW w:w="0" w:type="auto"/>
        <w:tblLook w:val="04A0" w:firstRow="1" w:lastRow="0" w:firstColumn="1" w:lastColumn="0" w:noHBand="0" w:noVBand="1"/>
      </w:tblPr>
      <w:tblGrid>
        <w:gridCol w:w="2324"/>
        <w:gridCol w:w="2696"/>
        <w:gridCol w:w="2715"/>
        <w:gridCol w:w="2840"/>
        <w:gridCol w:w="2375"/>
      </w:tblGrid>
      <w:tr w:rsidR="00B555B2" w:rsidRPr="000662DB" w14:paraId="4CFFE780" w14:textId="77777777" w:rsidTr="00B555B2">
        <w:tc>
          <w:tcPr>
            <w:tcW w:w="12950" w:type="dxa"/>
            <w:gridSpan w:val="5"/>
            <w:shd w:val="clear" w:color="auto" w:fill="E8E8E8" w:themeFill="background2"/>
          </w:tcPr>
          <w:p w14:paraId="522E159C" w14:textId="7FBBEB0A" w:rsidR="00B555B2" w:rsidRPr="000662DB" w:rsidRDefault="00B555B2" w:rsidP="00882340">
            <w:pPr>
              <w:ind w:firstLine="0"/>
              <w:rPr>
                <w:rFonts w:ascii="Calibri" w:eastAsia="Calibri" w:hAnsi="Calibri" w:cs="Calibri"/>
                <w:b/>
                <w:sz w:val="20"/>
                <w:szCs w:val="20"/>
              </w:rPr>
            </w:pPr>
            <w:r w:rsidRPr="00882340">
              <w:rPr>
                <w:rFonts w:ascii="Calibri" w:eastAsia="Calibri" w:hAnsi="Calibri" w:cs="Calibri"/>
                <w:b/>
                <w:sz w:val="24"/>
                <w:szCs w:val="24"/>
              </w:rPr>
              <w:t xml:space="preserve">Chapter 11 Endocrine Medications </w:t>
            </w:r>
            <w:r>
              <w:rPr>
                <w:rFonts w:ascii="Calibri" w:eastAsia="Calibri" w:hAnsi="Calibri" w:cs="Calibri"/>
                <w:b/>
                <w:sz w:val="24"/>
                <w:szCs w:val="24"/>
              </w:rPr>
              <w:t xml:space="preserve">  Thyroid Medications                                                                                           2026</w:t>
            </w:r>
          </w:p>
        </w:tc>
      </w:tr>
      <w:tr w:rsidR="00882340" w:rsidRPr="000662DB" w14:paraId="0AF7EF5F" w14:textId="77777777" w:rsidTr="00EB6623">
        <w:tc>
          <w:tcPr>
            <w:tcW w:w="2324" w:type="dxa"/>
            <w:shd w:val="clear" w:color="auto" w:fill="F2F2F2"/>
          </w:tcPr>
          <w:p w14:paraId="6FF0DF2F" w14:textId="77777777" w:rsidR="00882340" w:rsidRPr="000662DB" w:rsidRDefault="00882340" w:rsidP="00882340">
            <w:pPr>
              <w:ind w:firstLine="0"/>
              <w:jc w:val="both"/>
              <w:rPr>
                <w:rFonts w:ascii="Calibri" w:eastAsia="Calibri" w:hAnsi="Calibri" w:cs="Calibri"/>
                <w:b/>
                <w:sz w:val="20"/>
                <w:szCs w:val="20"/>
              </w:rPr>
            </w:pPr>
            <w:r w:rsidRPr="000662DB">
              <w:rPr>
                <w:rFonts w:ascii="Calibri" w:eastAsia="Calibri" w:hAnsi="Calibri" w:cs="Calibri"/>
                <w:b/>
                <w:sz w:val="20"/>
                <w:szCs w:val="20"/>
              </w:rPr>
              <w:t>Class</w:t>
            </w:r>
          </w:p>
        </w:tc>
        <w:tc>
          <w:tcPr>
            <w:tcW w:w="2696" w:type="dxa"/>
            <w:shd w:val="clear" w:color="auto" w:fill="E8E8E8" w:themeFill="background2"/>
          </w:tcPr>
          <w:p w14:paraId="0819A2B7" w14:textId="237E76A6" w:rsidR="00882340" w:rsidRPr="000662DB" w:rsidRDefault="00882340" w:rsidP="00882340">
            <w:pPr>
              <w:ind w:firstLine="0"/>
              <w:jc w:val="both"/>
              <w:rPr>
                <w:rFonts w:ascii="Calibri" w:eastAsia="Calibri" w:hAnsi="Calibri" w:cs="Calibri"/>
                <w:b/>
                <w:sz w:val="20"/>
                <w:szCs w:val="20"/>
              </w:rPr>
            </w:pPr>
            <w:r w:rsidRPr="000662DB">
              <w:rPr>
                <w:rFonts w:ascii="Calibri" w:eastAsia="Calibri" w:hAnsi="Calibri" w:cs="Calibri"/>
                <w:b/>
                <w:sz w:val="20"/>
                <w:szCs w:val="20"/>
              </w:rPr>
              <w:t>Therapeutic Effects</w:t>
            </w:r>
          </w:p>
        </w:tc>
        <w:tc>
          <w:tcPr>
            <w:tcW w:w="2715" w:type="dxa"/>
            <w:shd w:val="clear" w:color="auto" w:fill="F2F2F2"/>
          </w:tcPr>
          <w:p w14:paraId="014593B0" w14:textId="6DD46452" w:rsidR="00882340" w:rsidRPr="000662DB" w:rsidRDefault="00882340" w:rsidP="00882340">
            <w:pPr>
              <w:ind w:firstLine="0"/>
              <w:jc w:val="both"/>
              <w:rPr>
                <w:rFonts w:ascii="Calibri" w:eastAsia="Calibri" w:hAnsi="Calibri" w:cs="Calibri"/>
                <w:b/>
                <w:sz w:val="20"/>
                <w:szCs w:val="20"/>
              </w:rPr>
            </w:pPr>
            <w:r w:rsidRPr="000662DB">
              <w:rPr>
                <w:rFonts w:ascii="Calibri" w:eastAsia="Calibri" w:hAnsi="Calibri" w:cs="Calibri"/>
                <w:b/>
                <w:sz w:val="20"/>
                <w:szCs w:val="20"/>
              </w:rPr>
              <w:t>Administration Considerations</w:t>
            </w:r>
          </w:p>
        </w:tc>
        <w:tc>
          <w:tcPr>
            <w:tcW w:w="2840" w:type="dxa"/>
            <w:shd w:val="clear" w:color="auto" w:fill="F2F2F2"/>
          </w:tcPr>
          <w:p w14:paraId="653F899F" w14:textId="3F6BC05B" w:rsidR="00882340" w:rsidRPr="000662DB" w:rsidRDefault="00EB6623" w:rsidP="00882340">
            <w:pPr>
              <w:ind w:firstLine="0"/>
              <w:rPr>
                <w:rFonts w:ascii="Calibri" w:eastAsia="Calibri" w:hAnsi="Calibri" w:cs="Calibri"/>
                <w:b/>
                <w:sz w:val="20"/>
                <w:szCs w:val="20"/>
              </w:rPr>
            </w:pPr>
            <w:r w:rsidRPr="000662DB">
              <w:rPr>
                <w:rFonts w:ascii="Calibri" w:eastAsia="Calibri" w:hAnsi="Calibri" w:cs="Calibri"/>
                <w:b/>
                <w:sz w:val="20"/>
                <w:szCs w:val="20"/>
              </w:rPr>
              <w:t>Adverse/</w:t>
            </w:r>
            <w:r w:rsidRPr="000662DB">
              <w:rPr>
                <w:rFonts w:ascii="Calibri" w:eastAsia="Calibri" w:hAnsi="Calibri" w:cs="Calibri"/>
                <w:b/>
                <w:sz w:val="20"/>
                <w:szCs w:val="20"/>
              </w:rPr>
              <w:br/>
              <w:t>Side Effects</w:t>
            </w:r>
            <w:r>
              <w:rPr>
                <w:rFonts w:ascii="Calibri" w:eastAsia="Calibri" w:hAnsi="Calibri" w:cs="Calibri"/>
                <w:b/>
                <w:sz w:val="20"/>
                <w:szCs w:val="20"/>
              </w:rPr>
              <w:t xml:space="preserve"> </w:t>
            </w:r>
            <w:r w:rsidR="00882340">
              <w:rPr>
                <w:rFonts w:ascii="Calibri" w:eastAsia="Calibri" w:hAnsi="Calibri" w:cs="Calibri"/>
                <w:b/>
                <w:sz w:val="20"/>
                <w:szCs w:val="20"/>
              </w:rPr>
              <w:t xml:space="preserve">Contraindications </w:t>
            </w:r>
          </w:p>
        </w:tc>
        <w:tc>
          <w:tcPr>
            <w:tcW w:w="2375" w:type="dxa"/>
            <w:shd w:val="clear" w:color="auto" w:fill="F2F2F2"/>
          </w:tcPr>
          <w:p w14:paraId="518F8BED" w14:textId="5C02D0D1" w:rsidR="00882340" w:rsidRPr="000662DB" w:rsidRDefault="00EB6623" w:rsidP="00EB6623">
            <w:pPr>
              <w:ind w:firstLine="0"/>
              <w:rPr>
                <w:rFonts w:ascii="Calibri" w:eastAsia="Calibri" w:hAnsi="Calibri" w:cs="Calibri"/>
                <w:b/>
                <w:sz w:val="20"/>
                <w:szCs w:val="20"/>
              </w:rPr>
            </w:pPr>
            <w:r>
              <w:rPr>
                <w:rFonts w:ascii="Calibri" w:eastAsia="Calibri" w:hAnsi="Calibri" w:cs="Calibri"/>
                <w:b/>
                <w:sz w:val="20"/>
                <w:szCs w:val="20"/>
              </w:rPr>
              <w:t>Nursing Considerations</w:t>
            </w:r>
          </w:p>
        </w:tc>
      </w:tr>
      <w:tr w:rsidR="00882340" w:rsidRPr="000662DB" w14:paraId="0ECD8FF0" w14:textId="77777777" w:rsidTr="00EB6623">
        <w:tc>
          <w:tcPr>
            <w:tcW w:w="2324" w:type="dxa"/>
          </w:tcPr>
          <w:p w14:paraId="54BF0E5D" w14:textId="77777777" w:rsidR="00882340" w:rsidRDefault="00882340" w:rsidP="00882340">
            <w:pPr>
              <w:tabs>
                <w:tab w:val="left" w:pos="369"/>
              </w:tabs>
              <w:spacing w:line="0" w:lineRule="atLeast"/>
              <w:ind w:firstLine="0"/>
              <w:rPr>
                <w:rFonts w:ascii="Calibri" w:eastAsia="Calibri" w:hAnsi="Calibri" w:cs="Times New Roman"/>
                <w:sz w:val="20"/>
                <w:szCs w:val="20"/>
              </w:rPr>
            </w:pPr>
            <w:r w:rsidRPr="000662DB">
              <w:rPr>
                <w:rFonts w:ascii="Calibri" w:eastAsia="Calibri" w:hAnsi="Calibri" w:cs="Times New Roman"/>
                <w:sz w:val="20"/>
                <w:szCs w:val="20"/>
              </w:rPr>
              <w:t>Thyroid replacement</w:t>
            </w:r>
          </w:p>
          <w:p w14:paraId="7932D618" w14:textId="77777777" w:rsidR="00882340" w:rsidRDefault="00882340" w:rsidP="00882340">
            <w:pPr>
              <w:tabs>
                <w:tab w:val="left" w:pos="369"/>
              </w:tabs>
              <w:spacing w:line="0" w:lineRule="atLeast"/>
              <w:ind w:firstLine="0"/>
              <w:rPr>
                <w:rFonts w:ascii="Calibri" w:eastAsia="Calibri" w:hAnsi="Calibri" w:cs="Times New Roman"/>
                <w:sz w:val="20"/>
                <w:szCs w:val="20"/>
              </w:rPr>
            </w:pPr>
          </w:p>
          <w:p w14:paraId="64A6D50B" w14:textId="006A6E71" w:rsidR="00882340" w:rsidRPr="000662DB" w:rsidRDefault="00882340" w:rsidP="00882340">
            <w:pPr>
              <w:tabs>
                <w:tab w:val="left" w:pos="369"/>
              </w:tabs>
              <w:spacing w:line="0" w:lineRule="atLeast"/>
              <w:ind w:firstLine="0"/>
              <w:rPr>
                <w:rFonts w:ascii="Calibri" w:eastAsia="Calibri" w:hAnsi="Calibri" w:cs="Calibri"/>
                <w:b/>
                <w:sz w:val="20"/>
                <w:szCs w:val="20"/>
              </w:rPr>
            </w:pPr>
            <w:r>
              <w:rPr>
                <w:rFonts w:ascii="Calibri" w:eastAsia="Calibri" w:hAnsi="Calibri" w:cs="Calibri"/>
                <w:b/>
                <w:sz w:val="20"/>
                <w:szCs w:val="20"/>
              </w:rPr>
              <w:t>L</w:t>
            </w:r>
            <w:r w:rsidRPr="00882340">
              <w:rPr>
                <w:rFonts w:ascii="Calibri" w:eastAsia="Calibri" w:hAnsi="Calibri" w:cs="Calibri"/>
                <w:b/>
                <w:sz w:val="20"/>
                <w:szCs w:val="20"/>
              </w:rPr>
              <w:t>evothyroxine</w:t>
            </w:r>
          </w:p>
        </w:tc>
        <w:tc>
          <w:tcPr>
            <w:tcW w:w="2696" w:type="dxa"/>
          </w:tcPr>
          <w:p w14:paraId="396A6BB8" w14:textId="77777777" w:rsidR="00882340" w:rsidRDefault="00882340" w:rsidP="00882340">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Increases T4 levels in hypothyroidism</w:t>
            </w:r>
          </w:p>
          <w:p w14:paraId="742621D6" w14:textId="77777777" w:rsidR="00882340" w:rsidRDefault="00882340" w:rsidP="00882340">
            <w:pPr>
              <w:spacing w:line="240" w:lineRule="auto"/>
              <w:ind w:firstLine="0"/>
              <w:contextualSpacing/>
              <w:rPr>
                <w:rFonts w:ascii="Calibri" w:eastAsia="Times New Roman" w:hAnsi="Calibri" w:cs="Calibri"/>
                <w:sz w:val="20"/>
                <w:szCs w:val="20"/>
                <w:lang w:val="en-US"/>
              </w:rPr>
            </w:pPr>
          </w:p>
          <w:p w14:paraId="1571EE29" w14:textId="666C18EB" w:rsidR="00882340" w:rsidRPr="000662DB" w:rsidRDefault="00882340" w:rsidP="00882340">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MOA: exerts the same </w:t>
            </w:r>
            <w:r w:rsidR="00EB6623">
              <w:rPr>
                <w:rFonts w:ascii="Calibri" w:eastAsia="Times New Roman" w:hAnsi="Calibri" w:cs="Calibri"/>
                <w:sz w:val="20"/>
                <w:szCs w:val="20"/>
                <w:lang w:val="en-US"/>
              </w:rPr>
              <w:t>physiological</w:t>
            </w:r>
            <w:r>
              <w:rPr>
                <w:rFonts w:ascii="Calibri" w:eastAsia="Times New Roman" w:hAnsi="Calibri" w:cs="Calibri"/>
                <w:sz w:val="20"/>
                <w:szCs w:val="20"/>
                <w:lang w:val="en-US"/>
              </w:rPr>
              <w:t xml:space="preserve"> effects as endogenous T4, maintaining normal T4 levels.</w:t>
            </w:r>
          </w:p>
        </w:tc>
        <w:tc>
          <w:tcPr>
            <w:tcW w:w="2715" w:type="dxa"/>
          </w:tcPr>
          <w:p w14:paraId="5F5C0183" w14:textId="77777777" w:rsidR="00882340" w:rsidRDefault="00882340" w:rsidP="00882340">
            <w:pPr>
              <w:spacing w:line="240" w:lineRule="auto"/>
              <w:ind w:firstLine="0"/>
              <w:contextualSpacing/>
              <w:rPr>
                <w:rFonts w:ascii="Calibri" w:eastAsia="Times New Roman" w:hAnsi="Calibri" w:cs="Calibri"/>
                <w:sz w:val="20"/>
                <w:szCs w:val="20"/>
                <w:lang w:val="en-US"/>
              </w:rPr>
            </w:pPr>
            <w:proofErr w:type="gramStart"/>
            <w:r>
              <w:rPr>
                <w:rFonts w:ascii="Calibri" w:eastAsia="Times New Roman" w:hAnsi="Calibri" w:cs="Calibri"/>
                <w:sz w:val="20"/>
                <w:szCs w:val="20"/>
                <w:lang w:val="en-US"/>
              </w:rPr>
              <w:t>Oral;</w:t>
            </w:r>
            <w:proofErr w:type="gramEnd"/>
            <w:r>
              <w:rPr>
                <w:rFonts w:ascii="Calibri" w:eastAsia="Times New Roman" w:hAnsi="Calibri" w:cs="Calibri"/>
                <w:sz w:val="20"/>
                <w:szCs w:val="20"/>
                <w:lang w:val="en-US"/>
              </w:rPr>
              <w:t xml:space="preserve"> </w:t>
            </w:r>
          </w:p>
          <w:p w14:paraId="36C51E2B" w14:textId="18CBD94C" w:rsidR="00882340" w:rsidRPr="00882340" w:rsidRDefault="00882340" w:rsidP="00882340">
            <w:pPr>
              <w:pStyle w:val="ListParagraph"/>
              <w:numPr>
                <w:ilvl w:val="0"/>
                <w:numId w:val="4"/>
              </w:numPr>
              <w:spacing w:line="240" w:lineRule="auto"/>
              <w:rPr>
                <w:rFonts w:ascii="Calibri" w:eastAsia="Times New Roman" w:hAnsi="Calibri" w:cs="Calibri"/>
                <w:sz w:val="20"/>
                <w:szCs w:val="20"/>
                <w:lang w:val="en-US"/>
              </w:rPr>
            </w:pPr>
            <w:r w:rsidRPr="00882340">
              <w:rPr>
                <w:rFonts w:ascii="Calibri" w:eastAsia="Times New Roman" w:hAnsi="Calibri" w:cs="Calibri"/>
                <w:sz w:val="20"/>
                <w:szCs w:val="20"/>
                <w:lang w:val="en-US"/>
              </w:rPr>
              <w:t>t</w:t>
            </w:r>
            <w:r w:rsidRPr="00882340">
              <w:rPr>
                <w:rFonts w:ascii="Calibri" w:eastAsia="Times New Roman" w:hAnsi="Calibri" w:cs="Calibri"/>
                <w:sz w:val="20"/>
                <w:szCs w:val="20"/>
                <w:lang w:val="en-US"/>
              </w:rPr>
              <w:t>ake tablets with a full glass of water as the tablet may rapidly disintegrate</w:t>
            </w:r>
          </w:p>
          <w:p w14:paraId="4323338F" w14:textId="6DCD773F" w:rsidR="00882340" w:rsidRPr="000662DB" w:rsidRDefault="00882340" w:rsidP="003C5C3F">
            <w:pPr>
              <w:numPr>
                <w:ilvl w:val="0"/>
                <w:numId w:val="2"/>
              </w:numPr>
              <w:spacing w:line="240" w:lineRule="auto"/>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single daily dose, on an empty stomach, one-half to one hour before breakfast</w:t>
            </w:r>
          </w:p>
          <w:p w14:paraId="387DC9EB" w14:textId="1CFC5EC1" w:rsidR="00882340" w:rsidRPr="000662DB" w:rsidRDefault="00882340" w:rsidP="003C5C3F">
            <w:pPr>
              <w:numPr>
                <w:ilvl w:val="0"/>
                <w:numId w:val="2"/>
              </w:numPr>
              <w:spacing w:line="240" w:lineRule="auto"/>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Administer at least 4 hours before or after drugs known to interfere with levothyroxine absorption</w:t>
            </w:r>
          </w:p>
          <w:p w14:paraId="0649176B" w14:textId="77777777" w:rsidR="00882340" w:rsidRDefault="00882340" w:rsidP="003C5C3F">
            <w:pPr>
              <w:numPr>
                <w:ilvl w:val="0"/>
                <w:numId w:val="2"/>
              </w:numPr>
              <w:spacing w:line="240" w:lineRule="auto"/>
              <w:contextualSpacing/>
              <w:rPr>
                <w:rFonts w:ascii="Calibri" w:eastAsia="Times New Roman" w:hAnsi="Calibri" w:cs="Calibri"/>
                <w:sz w:val="20"/>
                <w:szCs w:val="20"/>
                <w:lang w:val="en-US"/>
              </w:rPr>
            </w:pPr>
            <w:r>
              <w:rPr>
                <w:rFonts w:ascii="Calibri" w:eastAsia="Times New Roman" w:hAnsi="Calibri" w:cs="Calibri"/>
                <w:sz w:val="20"/>
                <w:szCs w:val="20"/>
                <w:lang w:val="en-US"/>
              </w:rPr>
              <w:t>Do not take with foods containing calcium, iron soybean, papaya, grapefruit.</w:t>
            </w:r>
          </w:p>
          <w:p w14:paraId="4D1C2895" w14:textId="59DEC6DB" w:rsidR="00882340" w:rsidRPr="000662DB" w:rsidRDefault="00882340" w:rsidP="00882340">
            <w:pPr>
              <w:spacing w:line="240" w:lineRule="auto"/>
              <w:ind w:left="360" w:firstLine="0"/>
              <w:contextualSpacing/>
              <w:rPr>
                <w:rFonts w:ascii="Calibri" w:eastAsia="Times New Roman" w:hAnsi="Calibri" w:cs="Calibri"/>
                <w:sz w:val="20"/>
                <w:szCs w:val="20"/>
                <w:lang w:val="en-US"/>
              </w:rPr>
            </w:pPr>
          </w:p>
        </w:tc>
        <w:tc>
          <w:tcPr>
            <w:tcW w:w="2840" w:type="dxa"/>
          </w:tcPr>
          <w:p w14:paraId="1F835F3B" w14:textId="6A7877A2" w:rsidR="00EB6623" w:rsidRDefault="00EB6623" w:rsidP="00882340">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Angina, palpitations, </w:t>
            </w:r>
          </w:p>
          <w:p w14:paraId="4F861C6C" w14:textId="7BB3BACA" w:rsidR="00EB6623" w:rsidRDefault="00EB6623" w:rsidP="00882340">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Insomnia, anxiety</w:t>
            </w:r>
          </w:p>
          <w:p w14:paraId="7BE1AEBD" w14:textId="5D020D84" w:rsidR="00EB6623" w:rsidRDefault="00EB6623" w:rsidP="00882340">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Weight loss, diarrhea, fatigue</w:t>
            </w:r>
          </w:p>
          <w:p w14:paraId="0FBB7A66" w14:textId="4136E3CC" w:rsidR="00EB6623" w:rsidRDefault="00EB6623" w:rsidP="00882340">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Alopecia, goiter menstrual irreg., elevated liver enzymes</w:t>
            </w:r>
          </w:p>
          <w:p w14:paraId="41AD6AF8" w14:textId="77777777" w:rsidR="00EB6623" w:rsidRDefault="00EB6623" w:rsidP="00882340">
            <w:pPr>
              <w:spacing w:line="240" w:lineRule="auto"/>
              <w:ind w:firstLine="0"/>
              <w:contextualSpacing/>
              <w:rPr>
                <w:rFonts w:ascii="Calibri" w:eastAsia="Times New Roman" w:hAnsi="Calibri" w:cs="Calibri"/>
                <w:sz w:val="20"/>
                <w:szCs w:val="20"/>
                <w:lang w:val="en-US"/>
              </w:rPr>
            </w:pPr>
          </w:p>
          <w:p w14:paraId="3721AA98" w14:textId="0DE913E8" w:rsidR="00882340" w:rsidRPr="000662DB" w:rsidRDefault="00882340" w:rsidP="00882340">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 xml:space="preserve">Anticipate lower dosages in </w:t>
            </w:r>
            <w:r>
              <w:rPr>
                <w:rFonts w:ascii="Calibri" w:eastAsia="Times New Roman" w:hAnsi="Calibri" w:cs="Calibri"/>
                <w:sz w:val="20"/>
                <w:szCs w:val="20"/>
                <w:lang w:val="en-US"/>
              </w:rPr>
              <w:t>older adults</w:t>
            </w:r>
            <w:r w:rsidRPr="000662DB">
              <w:rPr>
                <w:rFonts w:ascii="Calibri" w:eastAsia="Times New Roman" w:hAnsi="Calibri" w:cs="Calibri"/>
                <w:sz w:val="20"/>
                <w:szCs w:val="20"/>
                <w:lang w:val="en-US"/>
              </w:rPr>
              <w:t xml:space="preserve"> with pre-existing cardiac disease</w:t>
            </w:r>
          </w:p>
          <w:p w14:paraId="49167044" w14:textId="77777777" w:rsidR="00882340" w:rsidRDefault="00882340" w:rsidP="00882340">
            <w:pPr>
              <w:tabs>
                <w:tab w:val="left" w:pos="369"/>
              </w:tabs>
              <w:spacing w:line="0" w:lineRule="atLeast"/>
              <w:ind w:left="170" w:firstLine="0"/>
              <w:contextualSpacing/>
              <w:rPr>
                <w:rFonts w:ascii="Calibri" w:eastAsia="Times New Roman" w:hAnsi="Calibri" w:cs="Calibri"/>
                <w:sz w:val="20"/>
                <w:szCs w:val="20"/>
                <w:lang w:val="en-US"/>
              </w:rPr>
            </w:pPr>
          </w:p>
          <w:p w14:paraId="11316F46" w14:textId="77777777" w:rsidR="00882340" w:rsidRDefault="00882340" w:rsidP="00882340">
            <w:pPr>
              <w:tabs>
                <w:tab w:val="left" w:pos="369"/>
              </w:tabs>
              <w:spacing w:line="0" w:lineRule="atLeast"/>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May interact with several medications so read drug label thoroughly on initial administration for potential effects</w:t>
            </w:r>
            <w:r>
              <w:rPr>
                <w:rFonts w:ascii="Calibri" w:eastAsia="Times New Roman" w:hAnsi="Calibri" w:cs="Calibri"/>
                <w:sz w:val="20"/>
                <w:szCs w:val="20"/>
                <w:lang w:val="en-US"/>
              </w:rPr>
              <w:t xml:space="preserve">. </w:t>
            </w:r>
            <w:proofErr w:type="gramStart"/>
            <w:r>
              <w:rPr>
                <w:rFonts w:ascii="Calibri" w:eastAsia="Times New Roman" w:hAnsi="Calibri" w:cs="Calibri"/>
                <w:sz w:val="20"/>
                <w:szCs w:val="20"/>
                <w:lang w:val="en-US"/>
              </w:rPr>
              <w:t>Avoid with</w:t>
            </w:r>
            <w:proofErr w:type="gramEnd"/>
            <w:r>
              <w:rPr>
                <w:rFonts w:ascii="Calibri" w:eastAsia="Times New Roman" w:hAnsi="Calibri" w:cs="Calibri"/>
                <w:sz w:val="20"/>
                <w:szCs w:val="20"/>
                <w:lang w:val="en-US"/>
              </w:rPr>
              <w:t xml:space="preserve"> PPIs, antacids, Iron, bile acid sequestrants, oral coagulants</w:t>
            </w:r>
          </w:p>
          <w:p w14:paraId="4C4DB85D" w14:textId="79F3B4EA" w:rsidR="00EB6623" w:rsidRPr="000662DB" w:rsidRDefault="00EB6623" w:rsidP="00882340">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May worsen glycemic control with DM</w:t>
            </w:r>
          </w:p>
        </w:tc>
        <w:tc>
          <w:tcPr>
            <w:tcW w:w="2375" w:type="dxa"/>
          </w:tcPr>
          <w:p w14:paraId="72E22776" w14:textId="5921C54B" w:rsidR="00882340"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Narrow TR: monitor TSH before therapy, then 4-6 weeks after, </w:t>
            </w:r>
            <w:proofErr w:type="gramStart"/>
            <w:r>
              <w:rPr>
                <w:rFonts w:ascii="Calibri" w:eastAsia="Times New Roman" w:hAnsi="Calibri" w:cs="Calibri"/>
                <w:sz w:val="20"/>
                <w:szCs w:val="20"/>
                <w:lang w:val="en-US"/>
              </w:rPr>
              <w:t>then q</w:t>
            </w:r>
            <w:proofErr w:type="gramEnd"/>
            <w:r>
              <w:rPr>
                <w:rFonts w:ascii="Calibri" w:eastAsia="Times New Roman" w:hAnsi="Calibri" w:cs="Calibri"/>
                <w:sz w:val="20"/>
                <w:szCs w:val="20"/>
                <w:lang w:val="en-US"/>
              </w:rPr>
              <w:t xml:space="preserve"> 4-6 </w:t>
            </w:r>
            <w:proofErr w:type="spellStart"/>
            <w:r>
              <w:rPr>
                <w:rFonts w:ascii="Calibri" w:eastAsia="Times New Roman" w:hAnsi="Calibri" w:cs="Calibri"/>
                <w:sz w:val="20"/>
                <w:szCs w:val="20"/>
                <w:lang w:val="en-US"/>
              </w:rPr>
              <w:t>mos</w:t>
            </w:r>
            <w:proofErr w:type="spellEnd"/>
          </w:p>
          <w:p w14:paraId="6BB35FB6" w14:textId="19A4CB2C" w:rsidR="00EB6623"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Monitor HR and BP</w:t>
            </w:r>
          </w:p>
          <w:p w14:paraId="449F2C53" w14:textId="77777777" w:rsidR="00882340" w:rsidRDefault="00882340" w:rsidP="00EB6623">
            <w:pPr>
              <w:tabs>
                <w:tab w:val="left" w:pos="369"/>
              </w:tabs>
              <w:spacing w:line="0" w:lineRule="atLeast"/>
              <w:ind w:left="170" w:firstLine="0"/>
              <w:contextualSpacing/>
              <w:rPr>
                <w:rFonts w:ascii="Calibri" w:eastAsia="Times New Roman" w:hAnsi="Calibri" w:cs="Calibri"/>
                <w:sz w:val="20"/>
                <w:szCs w:val="20"/>
                <w:lang w:val="en-US"/>
              </w:rPr>
            </w:pPr>
          </w:p>
          <w:p w14:paraId="5CA6B8A0" w14:textId="6D1915C6" w:rsidR="00882340"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Monitor for </w:t>
            </w:r>
            <w:r w:rsidR="00882340" w:rsidRPr="000662DB">
              <w:rPr>
                <w:rFonts w:ascii="Calibri" w:eastAsia="Times New Roman" w:hAnsi="Calibri" w:cs="Calibri"/>
                <w:sz w:val="20"/>
                <w:szCs w:val="20"/>
                <w:lang w:val="en-US"/>
              </w:rPr>
              <w:t>Hypersensitivity reactions</w:t>
            </w:r>
          </w:p>
          <w:p w14:paraId="61DA80C8" w14:textId="77777777" w:rsidR="00EB6623" w:rsidRDefault="00EB6623" w:rsidP="00EB6623">
            <w:pPr>
              <w:tabs>
                <w:tab w:val="left" w:pos="369"/>
              </w:tabs>
              <w:spacing w:line="0" w:lineRule="atLeast"/>
              <w:ind w:firstLine="0"/>
              <w:contextualSpacing/>
              <w:rPr>
                <w:rFonts w:ascii="Calibri" w:eastAsia="Times New Roman" w:hAnsi="Calibri" w:cs="Calibri"/>
                <w:sz w:val="20"/>
                <w:szCs w:val="20"/>
                <w:lang w:val="en-US"/>
              </w:rPr>
            </w:pPr>
          </w:p>
          <w:p w14:paraId="0305C119" w14:textId="57AB17D3" w:rsidR="00882340" w:rsidRPr="000662DB"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Monitor for c</w:t>
            </w:r>
            <w:r w:rsidR="00882340" w:rsidRPr="000662DB">
              <w:rPr>
                <w:rFonts w:ascii="Calibri" w:eastAsia="Times New Roman" w:hAnsi="Calibri" w:cs="Calibri"/>
                <w:sz w:val="20"/>
                <w:szCs w:val="20"/>
                <w:lang w:val="en-US"/>
              </w:rPr>
              <w:t>ardiac dysrhythmias</w:t>
            </w:r>
          </w:p>
        </w:tc>
      </w:tr>
      <w:tr w:rsidR="00882340" w:rsidRPr="000662DB" w14:paraId="1CC2177A" w14:textId="77777777" w:rsidTr="00EB6623">
        <w:tc>
          <w:tcPr>
            <w:tcW w:w="2324" w:type="dxa"/>
          </w:tcPr>
          <w:p w14:paraId="33F09EA8" w14:textId="77777777" w:rsidR="00882340" w:rsidRDefault="00882340" w:rsidP="00882340">
            <w:pPr>
              <w:tabs>
                <w:tab w:val="left" w:pos="369"/>
              </w:tabs>
              <w:spacing w:line="0" w:lineRule="atLeast"/>
              <w:ind w:firstLine="0"/>
              <w:rPr>
                <w:rFonts w:ascii="Calibri" w:eastAsia="Calibri" w:hAnsi="Calibri" w:cs="Times New Roman"/>
                <w:sz w:val="20"/>
                <w:szCs w:val="20"/>
              </w:rPr>
            </w:pPr>
            <w:r w:rsidRPr="000662DB">
              <w:rPr>
                <w:rFonts w:ascii="Calibri" w:eastAsia="Calibri" w:hAnsi="Calibri" w:cs="Times New Roman"/>
                <w:sz w:val="20"/>
                <w:szCs w:val="20"/>
              </w:rPr>
              <w:t>Antithyroid</w:t>
            </w:r>
          </w:p>
          <w:p w14:paraId="689779A9" w14:textId="77777777" w:rsidR="00882340" w:rsidRDefault="00882340" w:rsidP="00882340">
            <w:pPr>
              <w:tabs>
                <w:tab w:val="left" w:pos="369"/>
              </w:tabs>
              <w:spacing w:line="0" w:lineRule="atLeast"/>
              <w:ind w:firstLine="0"/>
              <w:rPr>
                <w:rFonts w:ascii="Calibri" w:eastAsia="Calibri" w:hAnsi="Calibri" w:cs="Times New Roman"/>
                <w:sz w:val="20"/>
                <w:szCs w:val="20"/>
              </w:rPr>
            </w:pPr>
          </w:p>
          <w:p w14:paraId="162330D9" w14:textId="4230DE50" w:rsidR="00882340" w:rsidRPr="00882340" w:rsidRDefault="00882340" w:rsidP="00882340">
            <w:pPr>
              <w:tabs>
                <w:tab w:val="left" w:pos="369"/>
              </w:tabs>
              <w:spacing w:line="0" w:lineRule="atLeast"/>
              <w:ind w:firstLine="0"/>
              <w:rPr>
                <w:rFonts w:ascii="Calibri" w:eastAsia="Calibri" w:hAnsi="Calibri" w:cs="Calibri"/>
                <w:b/>
                <w:bCs w:val="0"/>
                <w:sz w:val="20"/>
                <w:szCs w:val="20"/>
              </w:rPr>
            </w:pPr>
            <w:r w:rsidRPr="00882340">
              <w:rPr>
                <w:rFonts w:ascii="Calibri" w:eastAsia="Calibri" w:hAnsi="Calibri" w:cs="Calibri"/>
                <w:b/>
                <w:bCs w:val="0"/>
                <w:sz w:val="20"/>
                <w:szCs w:val="20"/>
              </w:rPr>
              <w:t>P</w:t>
            </w:r>
            <w:r w:rsidRPr="00882340">
              <w:rPr>
                <w:rFonts w:ascii="Calibri" w:eastAsia="Calibri" w:hAnsi="Calibri" w:cs="Calibri"/>
                <w:b/>
                <w:bCs w:val="0"/>
                <w:sz w:val="20"/>
                <w:szCs w:val="20"/>
              </w:rPr>
              <w:t>ropylthiouracil</w:t>
            </w:r>
          </w:p>
          <w:p w14:paraId="7F1791F9" w14:textId="5F15B040" w:rsidR="00882340" w:rsidRPr="000662DB" w:rsidRDefault="00882340" w:rsidP="00882340">
            <w:pPr>
              <w:tabs>
                <w:tab w:val="left" w:pos="369"/>
              </w:tabs>
              <w:spacing w:line="0" w:lineRule="atLeast"/>
              <w:ind w:firstLine="0"/>
              <w:rPr>
                <w:rFonts w:ascii="Calibri" w:eastAsia="Calibri" w:hAnsi="Calibri" w:cs="Calibri"/>
                <w:b/>
                <w:sz w:val="20"/>
                <w:szCs w:val="20"/>
              </w:rPr>
            </w:pPr>
            <w:r w:rsidRPr="000662DB">
              <w:rPr>
                <w:rFonts w:ascii="Calibri" w:eastAsia="Calibri" w:hAnsi="Calibri" w:cs="Calibri"/>
                <w:sz w:val="20"/>
                <w:szCs w:val="20"/>
              </w:rPr>
              <w:t>(PTU)</w:t>
            </w:r>
          </w:p>
        </w:tc>
        <w:tc>
          <w:tcPr>
            <w:tcW w:w="2696" w:type="dxa"/>
          </w:tcPr>
          <w:p w14:paraId="42BD1DB8" w14:textId="01DD2AD2" w:rsidR="00882340" w:rsidRPr="000662DB" w:rsidRDefault="00882340" w:rsidP="00882340">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Inhibit production of T4 to treat hyperthyroidism</w:t>
            </w:r>
          </w:p>
        </w:tc>
        <w:tc>
          <w:tcPr>
            <w:tcW w:w="2715" w:type="dxa"/>
          </w:tcPr>
          <w:p w14:paraId="6BE11C97" w14:textId="21BA07FB" w:rsidR="00882340" w:rsidRPr="000662DB" w:rsidRDefault="00EB6623" w:rsidP="00EB6623">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Oral; </w:t>
            </w:r>
            <w:r w:rsidR="00882340" w:rsidRPr="000662DB">
              <w:rPr>
                <w:rFonts w:ascii="Calibri" w:eastAsia="Times New Roman" w:hAnsi="Calibri" w:cs="Calibri"/>
                <w:sz w:val="20"/>
                <w:szCs w:val="20"/>
                <w:lang w:val="en-US"/>
              </w:rPr>
              <w:t>Usually administered every 8 hours</w:t>
            </w:r>
            <w:r>
              <w:rPr>
                <w:rFonts w:ascii="Calibri" w:eastAsia="Times New Roman" w:hAnsi="Calibri" w:cs="Calibri"/>
                <w:sz w:val="20"/>
                <w:szCs w:val="20"/>
                <w:lang w:val="en-US"/>
              </w:rPr>
              <w:t xml:space="preserve"> TID</w:t>
            </w:r>
          </w:p>
          <w:p w14:paraId="096B948C" w14:textId="5210CD21" w:rsidR="00882340" w:rsidRPr="000662DB" w:rsidRDefault="00882340" w:rsidP="00EB6623">
            <w:pPr>
              <w:spacing w:line="240" w:lineRule="auto"/>
              <w:ind w:firstLine="0"/>
              <w:contextualSpacing/>
              <w:rPr>
                <w:rFonts w:ascii="Calibri" w:eastAsia="Times New Roman" w:hAnsi="Calibri" w:cs="Calibri"/>
                <w:sz w:val="20"/>
                <w:szCs w:val="20"/>
                <w:lang w:val="en-US"/>
              </w:rPr>
            </w:pPr>
          </w:p>
        </w:tc>
        <w:tc>
          <w:tcPr>
            <w:tcW w:w="2840" w:type="dxa"/>
          </w:tcPr>
          <w:p w14:paraId="51E096C7" w14:textId="77777777" w:rsidR="00882340" w:rsidRDefault="00EB6623" w:rsidP="00EB6623">
            <w:pPr>
              <w:tabs>
                <w:tab w:val="left" w:pos="369"/>
              </w:tabs>
              <w:spacing w:line="0" w:lineRule="atLeast"/>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If a client becomes pregnant, immediately notify health care provider because it can cause fetal harm</w:t>
            </w:r>
          </w:p>
          <w:p w14:paraId="509E727D" w14:textId="77777777" w:rsidR="00EB6623" w:rsidRDefault="00EB6623" w:rsidP="00EB6623">
            <w:pPr>
              <w:tabs>
                <w:tab w:val="left" w:pos="369"/>
              </w:tabs>
              <w:spacing w:line="0" w:lineRule="atLeast"/>
              <w:ind w:firstLine="0"/>
              <w:contextualSpacing/>
              <w:rPr>
                <w:rFonts w:ascii="Calibri" w:eastAsia="Times New Roman" w:hAnsi="Calibri" w:cs="Calibri"/>
                <w:sz w:val="20"/>
                <w:szCs w:val="20"/>
                <w:lang w:val="en-US"/>
              </w:rPr>
            </w:pPr>
          </w:p>
          <w:p w14:paraId="22555202" w14:textId="77777777" w:rsidR="00EB6623" w:rsidRPr="000662DB" w:rsidRDefault="00EB6623" w:rsidP="00EB6623">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Hypothyroidism</w:t>
            </w:r>
          </w:p>
          <w:p w14:paraId="3E37DD3C" w14:textId="77777777" w:rsidR="00EB6623" w:rsidRPr="000662DB" w:rsidRDefault="00EB6623" w:rsidP="00EB6623">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Liver failure</w:t>
            </w:r>
          </w:p>
          <w:p w14:paraId="002F1DB8" w14:textId="4BEF9073" w:rsidR="00EB6623" w:rsidRPr="000662DB" w:rsidRDefault="00EB6623" w:rsidP="00EB6623">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Agranulocytosis</w:t>
            </w:r>
            <w:r>
              <w:rPr>
                <w:rFonts w:ascii="Calibri" w:eastAsia="Times New Roman" w:hAnsi="Calibri" w:cs="Calibri"/>
                <w:sz w:val="20"/>
                <w:szCs w:val="20"/>
                <w:lang w:val="en-US"/>
              </w:rPr>
              <w:t xml:space="preserve"> (</w:t>
            </w:r>
            <w:proofErr w:type="spellStart"/>
            <w:r>
              <w:rPr>
                <w:rFonts w:ascii="Calibri" w:eastAsia="Times New Roman" w:hAnsi="Calibri" w:cs="Calibri"/>
                <w:sz w:val="20"/>
                <w:szCs w:val="20"/>
                <w:lang w:val="en-US"/>
              </w:rPr>
              <w:t>usu</w:t>
            </w:r>
            <w:proofErr w:type="spellEnd"/>
            <w:r>
              <w:rPr>
                <w:rFonts w:ascii="Calibri" w:eastAsia="Times New Roman" w:hAnsi="Calibri" w:cs="Calibri"/>
                <w:sz w:val="20"/>
                <w:szCs w:val="20"/>
                <w:lang w:val="en-US"/>
              </w:rPr>
              <w:t xml:space="preserve"> 1</w:t>
            </w:r>
            <w:r w:rsidRPr="00EB6623">
              <w:rPr>
                <w:rFonts w:ascii="Calibri" w:eastAsia="Times New Roman" w:hAnsi="Calibri" w:cs="Calibri"/>
                <w:sz w:val="20"/>
                <w:szCs w:val="20"/>
                <w:vertAlign w:val="superscript"/>
                <w:lang w:val="en-US"/>
              </w:rPr>
              <w:t>st</w:t>
            </w:r>
            <w:r>
              <w:rPr>
                <w:rFonts w:ascii="Calibri" w:eastAsia="Times New Roman" w:hAnsi="Calibri" w:cs="Calibri"/>
                <w:sz w:val="20"/>
                <w:szCs w:val="20"/>
                <w:lang w:val="en-US"/>
              </w:rPr>
              <w:t xml:space="preserve"> 3 </w:t>
            </w:r>
            <w:proofErr w:type="spellStart"/>
            <w:r>
              <w:rPr>
                <w:rFonts w:ascii="Calibri" w:eastAsia="Times New Roman" w:hAnsi="Calibri" w:cs="Calibri"/>
                <w:sz w:val="20"/>
                <w:szCs w:val="20"/>
                <w:lang w:val="en-US"/>
              </w:rPr>
              <w:t>mos</w:t>
            </w:r>
            <w:proofErr w:type="spellEnd"/>
            <w:r>
              <w:rPr>
                <w:rFonts w:ascii="Calibri" w:eastAsia="Times New Roman" w:hAnsi="Calibri" w:cs="Calibri"/>
                <w:sz w:val="20"/>
                <w:szCs w:val="20"/>
                <w:lang w:val="en-US"/>
              </w:rPr>
              <w:t xml:space="preserve"> of therapy)</w:t>
            </w:r>
          </w:p>
          <w:p w14:paraId="2A93C3EF" w14:textId="77777777" w:rsidR="00EB6623" w:rsidRDefault="00EB6623" w:rsidP="00EB6623">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Vasculitis</w:t>
            </w:r>
          </w:p>
          <w:p w14:paraId="7C4FF41F" w14:textId="77777777" w:rsidR="00EB6623" w:rsidRDefault="00EB6623" w:rsidP="00EB6623">
            <w:pPr>
              <w:tabs>
                <w:tab w:val="left" w:pos="369"/>
              </w:tabs>
              <w:spacing w:line="0" w:lineRule="atLeast"/>
              <w:ind w:firstLine="0"/>
              <w:contextualSpacing/>
              <w:rPr>
                <w:rFonts w:ascii="Calibri" w:eastAsia="Times New Roman" w:hAnsi="Calibri" w:cs="Calibri"/>
                <w:sz w:val="20"/>
                <w:szCs w:val="20"/>
                <w:lang w:val="en-US"/>
              </w:rPr>
            </w:pPr>
          </w:p>
          <w:p w14:paraId="7F2E6944" w14:textId="5D217844" w:rsidR="00EB6623" w:rsidRPr="000662DB" w:rsidRDefault="00EB6623" w:rsidP="00EB6623">
            <w:pPr>
              <w:tabs>
                <w:tab w:val="left" w:pos="369"/>
              </w:tabs>
              <w:spacing w:line="0" w:lineRule="atLeast"/>
              <w:ind w:firstLine="0"/>
              <w:contextualSpacing/>
              <w:rPr>
                <w:rFonts w:ascii="Calibri" w:eastAsia="Times New Roman" w:hAnsi="Calibri" w:cs="Calibri"/>
                <w:sz w:val="20"/>
                <w:szCs w:val="20"/>
                <w:lang w:val="en-US"/>
              </w:rPr>
            </w:pPr>
          </w:p>
        </w:tc>
        <w:tc>
          <w:tcPr>
            <w:tcW w:w="2375" w:type="dxa"/>
          </w:tcPr>
          <w:p w14:paraId="336751DF" w14:textId="77777777" w:rsidR="00EB6623" w:rsidRPr="000662DB" w:rsidRDefault="00EB6623" w:rsidP="00EB6623">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May cause hypothyroidism so TSH and T4 levels should be monitored</w:t>
            </w:r>
          </w:p>
          <w:p w14:paraId="0A7130BC" w14:textId="77777777" w:rsidR="00EB6623" w:rsidRPr="000662DB" w:rsidRDefault="00EB6623" w:rsidP="00EB6623">
            <w:pPr>
              <w:tabs>
                <w:tab w:val="left" w:pos="369"/>
              </w:tabs>
              <w:spacing w:line="0" w:lineRule="atLeast"/>
              <w:ind w:firstLine="0"/>
              <w:contextualSpacing/>
              <w:rPr>
                <w:rFonts w:ascii="Calibri" w:eastAsia="Times New Roman" w:hAnsi="Calibri" w:cs="Calibri"/>
                <w:sz w:val="20"/>
                <w:szCs w:val="20"/>
                <w:lang w:val="en-US"/>
              </w:rPr>
            </w:pPr>
          </w:p>
          <w:p w14:paraId="74F6451B" w14:textId="77777777" w:rsidR="00882340"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Report any sign of liver dysfunction (anorexia, pruritus, RUQ pain)</w:t>
            </w:r>
          </w:p>
          <w:p w14:paraId="191770A1" w14:textId="77777777" w:rsidR="00EB6623" w:rsidRDefault="00EB6623" w:rsidP="00EB6623">
            <w:pPr>
              <w:tabs>
                <w:tab w:val="left" w:pos="369"/>
              </w:tabs>
              <w:spacing w:line="0" w:lineRule="atLeast"/>
              <w:ind w:firstLine="0"/>
              <w:contextualSpacing/>
              <w:rPr>
                <w:rFonts w:ascii="Calibri" w:eastAsia="Times New Roman" w:hAnsi="Calibri" w:cs="Calibri"/>
                <w:sz w:val="20"/>
                <w:szCs w:val="20"/>
                <w:lang w:val="en-US"/>
              </w:rPr>
            </w:pPr>
          </w:p>
          <w:p w14:paraId="0EBDA726" w14:textId="7D5E862B" w:rsidR="00EB6623" w:rsidRPr="000662DB"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Monitor weight 2-3 x/week</w:t>
            </w:r>
          </w:p>
        </w:tc>
      </w:tr>
      <w:tr w:rsidR="00882340" w:rsidRPr="000662DB" w14:paraId="6624912B" w14:textId="77777777" w:rsidTr="00EB6623">
        <w:tc>
          <w:tcPr>
            <w:tcW w:w="2324" w:type="dxa"/>
          </w:tcPr>
          <w:p w14:paraId="08219CA4" w14:textId="70823DC3" w:rsidR="00EB6623" w:rsidRDefault="00EB6623" w:rsidP="00882340">
            <w:pPr>
              <w:tabs>
                <w:tab w:val="left" w:pos="369"/>
              </w:tabs>
              <w:spacing w:line="0" w:lineRule="atLeast"/>
              <w:ind w:firstLine="0"/>
              <w:rPr>
                <w:rFonts w:ascii="Calibri" w:eastAsia="Calibri" w:hAnsi="Calibri" w:cs="Times New Roman"/>
                <w:sz w:val="20"/>
                <w:szCs w:val="20"/>
              </w:rPr>
            </w:pPr>
            <w:r>
              <w:rPr>
                <w:rFonts w:ascii="Calibri" w:eastAsia="Calibri" w:hAnsi="Calibri" w:cs="Times New Roman"/>
                <w:sz w:val="20"/>
                <w:szCs w:val="20"/>
              </w:rPr>
              <w:lastRenderedPageBreak/>
              <w:t xml:space="preserve">Calcitonin receptor agonist </w:t>
            </w:r>
          </w:p>
          <w:p w14:paraId="5E4815A4" w14:textId="77777777" w:rsidR="00882340" w:rsidRDefault="00882340" w:rsidP="00882340">
            <w:pPr>
              <w:tabs>
                <w:tab w:val="left" w:pos="369"/>
              </w:tabs>
              <w:spacing w:line="0" w:lineRule="atLeast"/>
              <w:ind w:firstLine="0"/>
              <w:rPr>
                <w:rFonts w:ascii="Calibri" w:eastAsia="Calibri" w:hAnsi="Calibri" w:cs="Times New Roman"/>
                <w:sz w:val="20"/>
                <w:szCs w:val="20"/>
              </w:rPr>
            </w:pPr>
          </w:p>
          <w:p w14:paraId="5D0B5F69" w14:textId="1F75C3F5" w:rsidR="00882340" w:rsidRPr="000662DB" w:rsidRDefault="00882340" w:rsidP="00882340">
            <w:pPr>
              <w:tabs>
                <w:tab w:val="left" w:pos="369"/>
              </w:tabs>
              <w:spacing w:line="0" w:lineRule="atLeast"/>
              <w:ind w:firstLine="0"/>
              <w:rPr>
                <w:rFonts w:ascii="Calibri" w:eastAsia="Calibri" w:hAnsi="Calibri" w:cs="Calibri"/>
                <w:b/>
                <w:sz w:val="20"/>
                <w:szCs w:val="20"/>
              </w:rPr>
            </w:pPr>
            <w:r>
              <w:rPr>
                <w:rFonts w:ascii="Calibri" w:eastAsia="Calibri" w:hAnsi="Calibri" w:cs="Calibri"/>
                <w:b/>
                <w:sz w:val="20"/>
                <w:szCs w:val="20"/>
              </w:rPr>
              <w:t>C</w:t>
            </w:r>
            <w:r w:rsidRPr="00882340">
              <w:rPr>
                <w:rFonts w:ascii="Calibri" w:eastAsia="Calibri" w:hAnsi="Calibri" w:cs="Calibri"/>
                <w:b/>
                <w:sz w:val="20"/>
                <w:szCs w:val="20"/>
              </w:rPr>
              <w:t>alcitonin</w:t>
            </w:r>
          </w:p>
        </w:tc>
        <w:tc>
          <w:tcPr>
            <w:tcW w:w="2696" w:type="dxa"/>
          </w:tcPr>
          <w:p w14:paraId="142C79A1" w14:textId="77777777" w:rsidR="00882340" w:rsidRDefault="00882340" w:rsidP="00882340">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Treats osteoporosis</w:t>
            </w:r>
            <w:r w:rsidR="00EB6623">
              <w:rPr>
                <w:rFonts w:ascii="Calibri" w:eastAsia="Times New Roman" w:hAnsi="Calibri" w:cs="Calibri"/>
                <w:sz w:val="20"/>
                <w:szCs w:val="20"/>
                <w:lang w:val="en-US"/>
              </w:rPr>
              <w:t xml:space="preserve">, calcium regulator </w:t>
            </w:r>
          </w:p>
          <w:p w14:paraId="6551F8CD" w14:textId="77777777" w:rsidR="00EB6623" w:rsidRDefault="00EB6623" w:rsidP="00882340">
            <w:pPr>
              <w:spacing w:line="240" w:lineRule="auto"/>
              <w:ind w:firstLine="0"/>
              <w:contextualSpacing/>
              <w:rPr>
                <w:rFonts w:ascii="Calibri" w:eastAsia="Times New Roman" w:hAnsi="Calibri" w:cs="Calibri"/>
                <w:sz w:val="20"/>
                <w:szCs w:val="20"/>
                <w:lang w:val="en-US"/>
              </w:rPr>
            </w:pPr>
          </w:p>
          <w:p w14:paraId="1E8FA599" w14:textId="2AEE396D" w:rsidR="00EB6623" w:rsidRPr="000662DB" w:rsidRDefault="00EB6623" w:rsidP="00882340">
            <w:pPr>
              <w:spacing w:line="240" w:lineRule="auto"/>
              <w:ind w:firstLine="0"/>
              <w:contextualSpacing/>
              <w:rPr>
                <w:rFonts w:ascii="Calibri" w:eastAsia="Times New Roman" w:hAnsi="Calibri" w:cs="Calibri"/>
                <w:sz w:val="20"/>
                <w:szCs w:val="20"/>
                <w:lang w:val="en-US"/>
              </w:rPr>
            </w:pPr>
            <w:r w:rsidRPr="00EB6623">
              <w:rPr>
                <w:rFonts w:ascii="Calibri" w:hAnsi="Calibri" w:cs="Calibri"/>
                <w:color w:val="373D3F"/>
                <w:sz w:val="20"/>
                <w:szCs w:val="20"/>
                <w:shd w:val="clear" w:color="auto" w:fill="FFFFFF"/>
              </w:rPr>
              <w:t xml:space="preserve">Calcitonin inhibits osteoclasts, resulting in lower bone mineral density (BMD) </w:t>
            </w:r>
            <w:r w:rsidRPr="00EB6623">
              <w:rPr>
                <w:rFonts w:ascii="Calibri" w:hAnsi="Calibri" w:cs="Calibri"/>
                <w:color w:val="373D3F"/>
                <w:sz w:val="20"/>
                <w:szCs w:val="20"/>
                <w:shd w:val="clear" w:color="auto" w:fill="FFFFFF"/>
              </w:rPr>
              <w:t>losses and</w:t>
            </w:r>
            <w:r w:rsidRPr="00EB6623">
              <w:rPr>
                <w:rFonts w:ascii="Calibri" w:hAnsi="Calibri" w:cs="Calibri"/>
                <w:color w:val="373D3F"/>
                <w:sz w:val="20"/>
                <w:szCs w:val="20"/>
                <w:shd w:val="clear" w:color="auto" w:fill="FFFFFF"/>
              </w:rPr>
              <w:t xml:space="preserve"> the risk of osteoporotic fractures can be lowered. Calcitonin also exerts its effects on tubular epithelium of the kidneys, inducing diuresis and decreases reabsorption, which results in reduced serum calcium and</w:t>
            </w:r>
            <w:r>
              <w:rPr>
                <w:rFonts w:ascii="Lora" w:hAnsi="Lora"/>
                <w:color w:val="373D3F"/>
                <w:sz w:val="27"/>
                <w:szCs w:val="27"/>
                <w:shd w:val="clear" w:color="auto" w:fill="FFFFFF"/>
              </w:rPr>
              <w:t xml:space="preserve"> </w:t>
            </w:r>
            <w:r w:rsidRPr="00EB6623">
              <w:rPr>
                <w:rFonts w:ascii="Calibri" w:hAnsi="Calibri" w:cs="Calibri"/>
                <w:color w:val="373D3F"/>
                <w:sz w:val="20"/>
                <w:szCs w:val="20"/>
                <w:shd w:val="clear" w:color="auto" w:fill="FFFFFF"/>
              </w:rPr>
              <w:t>phosphate levels</w:t>
            </w:r>
            <w:r>
              <w:rPr>
                <w:rFonts w:ascii="Lora" w:hAnsi="Lora"/>
                <w:color w:val="373D3F"/>
                <w:sz w:val="27"/>
                <w:szCs w:val="27"/>
                <w:shd w:val="clear" w:color="auto" w:fill="FFFFFF"/>
              </w:rPr>
              <w:t> </w:t>
            </w:r>
          </w:p>
        </w:tc>
        <w:tc>
          <w:tcPr>
            <w:tcW w:w="2715" w:type="dxa"/>
          </w:tcPr>
          <w:p w14:paraId="0AA5E07A" w14:textId="02A84605" w:rsidR="00882340" w:rsidRPr="000662DB" w:rsidRDefault="00EB6623" w:rsidP="00EB6623">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Nasal spray; </w:t>
            </w:r>
            <w:r w:rsidR="00882340" w:rsidRPr="000662DB">
              <w:rPr>
                <w:rFonts w:ascii="Calibri" w:eastAsia="Times New Roman" w:hAnsi="Calibri" w:cs="Calibri"/>
                <w:sz w:val="20"/>
                <w:szCs w:val="20"/>
                <w:lang w:val="en-US"/>
              </w:rPr>
              <w:t xml:space="preserve">one spray </w:t>
            </w:r>
            <w:proofErr w:type="gramStart"/>
            <w:r w:rsidR="00882340" w:rsidRPr="000662DB">
              <w:rPr>
                <w:rFonts w:ascii="Calibri" w:eastAsia="Times New Roman" w:hAnsi="Calibri" w:cs="Calibri"/>
                <w:sz w:val="20"/>
                <w:szCs w:val="20"/>
                <w:lang w:val="en-US"/>
              </w:rPr>
              <w:t>in</w:t>
            </w:r>
            <w:proofErr w:type="gramEnd"/>
            <w:r w:rsidR="00882340" w:rsidRPr="000662DB">
              <w:rPr>
                <w:rFonts w:ascii="Calibri" w:eastAsia="Times New Roman" w:hAnsi="Calibri" w:cs="Calibri"/>
                <w:sz w:val="20"/>
                <w:szCs w:val="20"/>
                <w:lang w:val="en-US"/>
              </w:rPr>
              <w:t xml:space="preserve"> one side of the nose daily</w:t>
            </w:r>
          </w:p>
          <w:p w14:paraId="67D6A47F" w14:textId="77777777" w:rsidR="00EB6623" w:rsidRDefault="00EB6623" w:rsidP="00EB6623">
            <w:pPr>
              <w:spacing w:line="240" w:lineRule="auto"/>
              <w:ind w:firstLine="0"/>
              <w:contextualSpacing/>
              <w:rPr>
                <w:rFonts w:ascii="Calibri" w:eastAsia="Times New Roman" w:hAnsi="Calibri" w:cs="Calibri"/>
                <w:sz w:val="20"/>
                <w:szCs w:val="20"/>
                <w:lang w:val="en-US"/>
              </w:rPr>
            </w:pPr>
          </w:p>
          <w:p w14:paraId="0042FEAF" w14:textId="40F09025" w:rsidR="00882340" w:rsidRPr="000662DB" w:rsidRDefault="00882340" w:rsidP="00EB6623">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Discard unrefrigerated bottle after 30 days of opening</w:t>
            </w:r>
          </w:p>
          <w:p w14:paraId="6CDBA25C" w14:textId="77777777" w:rsidR="00EB6623" w:rsidRDefault="00EB6623" w:rsidP="00EB6623">
            <w:pPr>
              <w:spacing w:line="240" w:lineRule="auto"/>
              <w:ind w:firstLine="0"/>
              <w:contextualSpacing/>
              <w:rPr>
                <w:rFonts w:ascii="Calibri" w:eastAsia="Times New Roman" w:hAnsi="Calibri" w:cs="Calibri"/>
                <w:sz w:val="20"/>
                <w:szCs w:val="20"/>
                <w:lang w:val="en-US"/>
              </w:rPr>
            </w:pPr>
          </w:p>
          <w:p w14:paraId="25312E1B" w14:textId="400A7948" w:rsidR="00882340" w:rsidRPr="000662DB" w:rsidRDefault="00882340" w:rsidP="00EB6623">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May store unopened bottles in refrigerator until expiration date</w:t>
            </w:r>
          </w:p>
        </w:tc>
        <w:tc>
          <w:tcPr>
            <w:tcW w:w="2840" w:type="dxa"/>
          </w:tcPr>
          <w:p w14:paraId="43055E96" w14:textId="77777777" w:rsidR="00EB6623" w:rsidRPr="000662DB" w:rsidRDefault="00EB6623" w:rsidP="00EB6623">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Contraindicated during pregnancy</w:t>
            </w:r>
          </w:p>
          <w:p w14:paraId="0C5A62E6" w14:textId="77777777" w:rsidR="00882340" w:rsidRDefault="00882340" w:rsidP="00EB6623">
            <w:pPr>
              <w:tabs>
                <w:tab w:val="left" w:pos="369"/>
              </w:tabs>
              <w:spacing w:line="0" w:lineRule="atLeast"/>
              <w:ind w:firstLine="0"/>
              <w:contextualSpacing/>
              <w:rPr>
                <w:rFonts w:ascii="Calibri" w:eastAsia="Times New Roman" w:hAnsi="Calibri" w:cs="Calibri"/>
                <w:sz w:val="20"/>
                <w:szCs w:val="20"/>
                <w:lang w:val="en-US"/>
              </w:rPr>
            </w:pPr>
          </w:p>
          <w:p w14:paraId="6AC293EE" w14:textId="077D19E9" w:rsidR="00EB6623" w:rsidRPr="000662DB" w:rsidRDefault="00EB6623" w:rsidP="00EB662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AEs include hypersensitivity reactions, </w:t>
            </w:r>
            <w:r w:rsidR="00B555B2">
              <w:rPr>
                <w:rFonts w:ascii="Calibri" w:eastAsia="Times New Roman" w:hAnsi="Calibri" w:cs="Calibri"/>
                <w:sz w:val="20"/>
                <w:szCs w:val="20"/>
                <w:lang w:val="en-US"/>
              </w:rPr>
              <w:t>hypocalcemia, nasal mucosa irritation</w:t>
            </w:r>
          </w:p>
        </w:tc>
        <w:tc>
          <w:tcPr>
            <w:tcW w:w="2375" w:type="dxa"/>
          </w:tcPr>
          <w:p w14:paraId="45B1FCAF" w14:textId="77777777" w:rsidR="00882340" w:rsidRPr="000662DB" w:rsidRDefault="00882340" w:rsidP="003C5C3F">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Serious hypersensitivity reactions (bronchospasm, swelling of the tongue or throat, anaphylaxis, and anaphylactic shock)</w:t>
            </w:r>
          </w:p>
          <w:p w14:paraId="58379CA4" w14:textId="77777777" w:rsidR="00882340" w:rsidRPr="000662DB" w:rsidRDefault="00882340" w:rsidP="003C5C3F">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Hypocalcemia</w:t>
            </w:r>
          </w:p>
          <w:p w14:paraId="68811BF6" w14:textId="77777777" w:rsidR="00882340" w:rsidRPr="000662DB" w:rsidRDefault="00882340" w:rsidP="003C5C3F">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Nasal mucosa adverse effects</w:t>
            </w:r>
          </w:p>
          <w:p w14:paraId="3C1AAB25" w14:textId="77777777" w:rsidR="00882340" w:rsidRPr="000662DB" w:rsidRDefault="00882340" w:rsidP="003C5C3F">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Malignancy</w:t>
            </w:r>
          </w:p>
        </w:tc>
      </w:tr>
      <w:tr w:rsidR="00882340" w:rsidRPr="000662DB" w14:paraId="3A512C7B" w14:textId="77777777" w:rsidTr="00EB6623">
        <w:tc>
          <w:tcPr>
            <w:tcW w:w="2324" w:type="dxa"/>
          </w:tcPr>
          <w:p w14:paraId="0A689B39" w14:textId="77777777" w:rsidR="00B555B2" w:rsidRDefault="00B555B2" w:rsidP="00EB6623">
            <w:pPr>
              <w:tabs>
                <w:tab w:val="left" w:pos="369"/>
              </w:tabs>
              <w:spacing w:line="0" w:lineRule="atLeast"/>
              <w:ind w:firstLine="0"/>
              <w:rPr>
                <w:rFonts w:ascii="Calibri" w:eastAsia="Calibri" w:hAnsi="Calibri" w:cs="Times New Roman"/>
                <w:sz w:val="20"/>
                <w:szCs w:val="20"/>
              </w:rPr>
            </w:pPr>
            <w:r>
              <w:rPr>
                <w:rFonts w:ascii="Calibri" w:eastAsia="Calibri" w:hAnsi="Calibri" w:cs="Times New Roman"/>
                <w:sz w:val="20"/>
                <w:szCs w:val="20"/>
              </w:rPr>
              <w:t>Bone Reabsorption Inhibitor</w:t>
            </w:r>
          </w:p>
          <w:p w14:paraId="26508193" w14:textId="77777777" w:rsidR="00882340" w:rsidRDefault="00882340" w:rsidP="00EB6623">
            <w:pPr>
              <w:tabs>
                <w:tab w:val="left" w:pos="369"/>
              </w:tabs>
              <w:spacing w:line="0" w:lineRule="atLeast"/>
              <w:ind w:firstLine="0"/>
              <w:rPr>
                <w:rFonts w:ascii="Calibri" w:eastAsia="Calibri" w:hAnsi="Calibri" w:cs="Times New Roman"/>
                <w:sz w:val="20"/>
                <w:szCs w:val="20"/>
              </w:rPr>
            </w:pPr>
            <w:r w:rsidRPr="000662DB">
              <w:rPr>
                <w:rFonts w:ascii="Calibri" w:eastAsia="Calibri" w:hAnsi="Calibri" w:cs="Times New Roman"/>
                <w:sz w:val="20"/>
                <w:szCs w:val="20"/>
              </w:rPr>
              <w:t>Bisphosphonates</w:t>
            </w:r>
          </w:p>
          <w:p w14:paraId="632D9526" w14:textId="77777777" w:rsidR="00B555B2" w:rsidRDefault="00B555B2" w:rsidP="00EB6623">
            <w:pPr>
              <w:tabs>
                <w:tab w:val="left" w:pos="369"/>
              </w:tabs>
              <w:spacing w:line="0" w:lineRule="atLeast"/>
              <w:ind w:firstLine="0"/>
              <w:rPr>
                <w:rFonts w:ascii="Calibri" w:eastAsia="Calibri" w:hAnsi="Calibri" w:cs="Times New Roman"/>
                <w:sz w:val="20"/>
                <w:szCs w:val="20"/>
              </w:rPr>
            </w:pPr>
          </w:p>
          <w:p w14:paraId="23E1F996" w14:textId="67315A7E" w:rsidR="00B555B2" w:rsidRPr="00B555B2" w:rsidRDefault="00B555B2" w:rsidP="00EB6623">
            <w:pPr>
              <w:tabs>
                <w:tab w:val="left" w:pos="369"/>
              </w:tabs>
              <w:spacing w:line="0" w:lineRule="atLeast"/>
              <w:ind w:firstLine="0"/>
              <w:rPr>
                <w:rFonts w:ascii="Calibri" w:eastAsia="Calibri" w:hAnsi="Calibri" w:cs="Times New Roman"/>
                <w:b/>
                <w:bCs w:val="0"/>
                <w:sz w:val="20"/>
                <w:szCs w:val="20"/>
              </w:rPr>
            </w:pPr>
            <w:r w:rsidRPr="00B555B2">
              <w:rPr>
                <w:rFonts w:ascii="Calibri" w:eastAsia="Calibri" w:hAnsi="Calibri" w:cs="Times New Roman"/>
                <w:b/>
                <w:bCs w:val="0"/>
                <w:sz w:val="20"/>
                <w:szCs w:val="20"/>
              </w:rPr>
              <w:t>Alendronate</w:t>
            </w:r>
          </w:p>
        </w:tc>
        <w:tc>
          <w:tcPr>
            <w:tcW w:w="2696" w:type="dxa"/>
          </w:tcPr>
          <w:p w14:paraId="75B39030" w14:textId="77777777" w:rsidR="00B555B2" w:rsidRDefault="00B555B2" w:rsidP="00B555B2">
            <w:pPr>
              <w:spacing w:line="240" w:lineRule="auto"/>
              <w:ind w:firstLine="0"/>
              <w:contextualSpacing/>
              <w:rPr>
                <w:rFonts w:ascii="Calibri" w:hAnsi="Calibri" w:cs="Calibri"/>
                <w:color w:val="373D3F"/>
                <w:sz w:val="20"/>
                <w:szCs w:val="20"/>
                <w:shd w:val="clear" w:color="auto" w:fill="FFFFFF"/>
              </w:rPr>
            </w:pPr>
            <w:r w:rsidRPr="00B555B2">
              <w:rPr>
                <w:rFonts w:ascii="Calibri" w:hAnsi="Calibri" w:cs="Calibri"/>
                <w:color w:val="373D3F"/>
                <w:sz w:val="20"/>
                <w:szCs w:val="20"/>
                <w:shd w:val="clear" w:color="auto" w:fill="FFFFFF"/>
              </w:rPr>
              <w:t>Enhances bone mineral density in osteoporosis</w:t>
            </w:r>
            <w:r w:rsidRPr="00B555B2">
              <w:rPr>
                <w:rFonts w:ascii="Calibri" w:hAnsi="Calibri" w:cs="Calibri"/>
                <w:color w:val="373D3F"/>
                <w:sz w:val="20"/>
                <w:szCs w:val="20"/>
                <w:shd w:val="clear" w:color="auto" w:fill="FFFFFF"/>
              </w:rPr>
              <w:t xml:space="preserve"> </w:t>
            </w:r>
          </w:p>
          <w:p w14:paraId="5B35ABF3" w14:textId="77777777" w:rsidR="00B555B2" w:rsidRDefault="00B555B2" w:rsidP="00B555B2">
            <w:pPr>
              <w:spacing w:line="240" w:lineRule="auto"/>
              <w:ind w:firstLine="0"/>
              <w:contextualSpacing/>
              <w:rPr>
                <w:rFonts w:ascii="Calibri" w:hAnsi="Calibri" w:cs="Calibri"/>
                <w:color w:val="373D3F"/>
                <w:sz w:val="20"/>
                <w:szCs w:val="20"/>
                <w:shd w:val="clear" w:color="auto" w:fill="FFFFFF"/>
              </w:rPr>
            </w:pPr>
          </w:p>
          <w:p w14:paraId="69094E67" w14:textId="04AF7C06" w:rsidR="00882340" w:rsidRDefault="00B555B2" w:rsidP="00B555B2">
            <w:pPr>
              <w:spacing w:line="240" w:lineRule="auto"/>
              <w:ind w:firstLine="0"/>
              <w:contextualSpacing/>
              <w:rPr>
                <w:rFonts w:ascii="Calibri" w:hAnsi="Calibri" w:cs="Calibri"/>
                <w:color w:val="373D3F"/>
                <w:sz w:val="20"/>
                <w:szCs w:val="20"/>
                <w:shd w:val="clear" w:color="auto" w:fill="FFFFFF"/>
              </w:rPr>
            </w:pPr>
            <w:r>
              <w:rPr>
                <w:rFonts w:ascii="Calibri" w:hAnsi="Calibri" w:cs="Calibri"/>
                <w:color w:val="373D3F"/>
                <w:sz w:val="20"/>
                <w:szCs w:val="20"/>
                <w:shd w:val="clear" w:color="auto" w:fill="FFFFFF"/>
              </w:rPr>
              <w:t>For</w:t>
            </w:r>
            <w:r w:rsidRPr="00B555B2">
              <w:rPr>
                <w:rFonts w:ascii="Calibri" w:hAnsi="Calibri" w:cs="Calibri"/>
                <w:color w:val="373D3F"/>
                <w:sz w:val="20"/>
                <w:szCs w:val="20"/>
                <w:shd w:val="clear" w:color="auto" w:fill="FFFFFF"/>
              </w:rPr>
              <w:t xml:space="preserve"> the prevention and treatment of osteoporosis in postmenopausal women, to increase bone mass in men with osteoporosis, and for glucocorticoid-induced osteoporosis</w:t>
            </w:r>
            <w:r>
              <w:rPr>
                <w:rFonts w:ascii="Calibri" w:hAnsi="Calibri" w:cs="Calibri"/>
                <w:color w:val="373D3F"/>
                <w:sz w:val="20"/>
                <w:szCs w:val="20"/>
                <w:shd w:val="clear" w:color="auto" w:fill="FFFFFF"/>
              </w:rPr>
              <w:t>.</w:t>
            </w:r>
          </w:p>
          <w:p w14:paraId="306AD4E6" w14:textId="77777777" w:rsidR="00B555B2" w:rsidRDefault="00B555B2" w:rsidP="00B555B2">
            <w:pPr>
              <w:spacing w:line="240" w:lineRule="auto"/>
              <w:ind w:firstLine="0"/>
              <w:contextualSpacing/>
              <w:rPr>
                <w:rFonts w:ascii="Calibri" w:hAnsi="Calibri" w:cs="Calibri"/>
                <w:color w:val="373D3F"/>
                <w:sz w:val="20"/>
                <w:szCs w:val="20"/>
                <w:shd w:val="clear" w:color="auto" w:fill="FFFFFF"/>
              </w:rPr>
            </w:pPr>
          </w:p>
          <w:p w14:paraId="67C51804" w14:textId="04D2E56E" w:rsidR="00B555B2" w:rsidRPr="00B555B2" w:rsidRDefault="00B555B2" w:rsidP="00B555B2">
            <w:pPr>
              <w:spacing w:line="240" w:lineRule="auto"/>
              <w:ind w:firstLine="0"/>
              <w:contextualSpacing/>
              <w:rPr>
                <w:rFonts w:ascii="Calibri" w:eastAsia="Times New Roman" w:hAnsi="Calibri" w:cs="Calibri"/>
                <w:sz w:val="20"/>
                <w:szCs w:val="20"/>
                <w:lang w:val="en-US"/>
              </w:rPr>
            </w:pPr>
            <w:r w:rsidRPr="00B555B2">
              <w:rPr>
                <w:rFonts w:ascii="Calibri" w:hAnsi="Calibri" w:cs="Calibri"/>
                <w:color w:val="373D3F"/>
                <w:sz w:val="20"/>
                <w:szCs w:val="20"/>
                <w:shd w:val="clear" w:color="auto" w:fill="FFFFFF"/>
              </w:rPr>
              <w:t>I</w:t>
            </w:r>
            <w:r w:rsidRPr="00B555B2">
              <w:rPr>
                <w:rFonts w:ascii="Calibri" w:hAnsi="Calibri" w:cs="Calibri"/>
                <w:color w:val="373D3F"/>
                <w:sz w:val="20"/>
                <w:szCs w:val="20"/>
                <w:shd w:val="clear" w:color="auto" w:fill="FFFFFF"/>
              </w:rPr>
              <w:t>nhibits osteoclast-mediated bone resorption. By preventing the breakdown of bone and enhancing the formation of new bone, alendronate assists in reversing bone loss and decreases the risk of fractures.</w:t>
            </w:r>
          </w:p>
        </w:tc>
        <w:tc>
          <w:tcPr>
            <w:tcW w:w="2715" w:type="dxa"/>
          </w:tcPr>
          <w:p w14:paraId="7AD9F3E1" w14:textId="099340DF" w:rsidR="00882340" w:rsidRDefault="00B555B2" w:rsidP="00B555B2">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Oral; administer upon awakening, </w:t>
            </w:r>
            <w:r w:rsidR="00882340" w:rsidRPr="000662DB">
              <w:rPr>
                <w:rFonts w:ascii="Calibri" w:eastAsia="Times New Roman" w:hAnsi="Calibri" w:cs="Calibri"/>
                <w:sz w:val="20"/>
                <w:szCs w:val="20"/>
                <w:lang w:val="en-US"/>
              </w:rPr>
              <w:t>and at least one-half hour before the first food, beverage, or medication of the day with plain water only</w:t>
            </w:r>
          </w:p>
          <w:p w14:paraId="4ECFCBF8" w14:textId="77777777" w:rsidR="00B555B2" w:rsidRDefault="00B555B2" w:rsidP="00B555B2">
            <w:pPr>
              <w:spacing w:line="240" w:lineRule="auto"/>
              <w:ind w:firstLine="0"/>
              <w:contextualSpacing/>
              <w:rPr>
                <w:rFonts w:ascii="Calibri" w:eastAsia="Times New Roman" w:hAnsi="Calibri" w:cs="Calibri"/>
                <w:sz w:val="20"/>
                <w:szCs w:val="20"/>
                <w:lang w:val="en-US"/>
              </w:rPr>
            </w:pPr>
          </w:p>
          <w:p w14:paraId="166DF8F3" w14:textId="0D93774C" w:rsidR="00882340" w:rsidRPr="000662DB" w:rsidRDefault="00B555B2" w:rsidP="00B555B2">
            <w:pPr>
              <w:spacing w:line="240" w:lineRule="auto"/>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Stay upright</w:t>
            </w:r>
            <w:proofErr w:type="gramStart"/>
            <w:r>
              <w:rPr>
                <w:rFonts w:ascii="Calibri" w:eastAsia="Times New Roman" w:hAnsi="Calibri" w:cs="Calibri"/>
                <w:sz w:val="20"/>
                <w:szCs w:val="20"/>
                <w:lang w:val="en-US"/>
              </w:rPr>
              <w:t xml:space="preserve">- </w:t>
            </w:r>
            <w:r w:rsidR="00882340" w:rsidRPr="000662DB">
              <w:rPr>
                <w:rFonts w:ascii="Calibri" w:eastAsia="Times New Roman" w:hAnsi="Calibri" w:cs="Calibri"/>
                <w:sz w:val="20"/>
                <w:szCs w:val="20"/>
                <w:lang w:val="en-US"/>
              </w:rPr>
              <w:t xml:space="preserve"> sit</w:t>
            </w:r>
            <w:proofErr w:type="gramEnd"/>
            <w:r w:rsidR="00882340" w:rsidRPr="000662DB">
              <w:rPr>
                <w:rFonts w:ascii="Calibri" w:eastAsia="Times New Roman" w:hAnsi="Calibri" w:cs="Calibri"/>
                <w:sz w:val="20"/>
                <w:szCs w:val="20"/>
                <w:lang w:val="en-US"/>
              </w:rPr>
              <w:t xml:space="preserve"> or stand for 30 minutes after administration</w:t>
            </w:r>
          </w:p>
          <w:p w14:paraId="1C3A6DB7" w14:textId="228DCFDA" w:rsidR="00882340" w:rsidRPr="000662DB" w:rsidRDefault="00882340" w:rsidP="00B555B2">
            <w:pPr>
              <w:spacing w:line="240" w:lineRule="auto"/>
              <w:ind w:left="360" w:firstLine="0"/>
              <w:contextualSpacing/>
              <w:rPr>
                <w:rFonts w:ascii="Calibri" w:eastAsia="Times New Roman" w:hAnsi="Calibri" w:cs="Calibri"/>
                <w:sz w:val="20"/>
                <w:szCs w:val="20"/>
                <w:lang w:val="en-US"/>
              </w:rPr>
            </w:pPr>
          </w:p>
        </w:tc>
        <w:tc>
          <w:tcPr>
            <w:tcW w:w="2840" w:type="dxa"/>
          </w:tcPr>
          <w:p w14:paraId="339287BF" w14:textId="77777777" w:rsidR="00B555B2" w:rsidRPr="000662DB" w:rsidRDefault="00B555B2" w:rsidP="00B555B2">
            <w:pPr>
              <w:tabs>
                <w:tab w:val="left" w:pos="369"/>
              </w:tabs>
              <w:spacing w:line="0" w:lineRule="atLeast"/>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Upper GI tract adverse events</w:t>
            </w:r>
          </w:p>
          <w:p w14:paraId="176E7A0A" w14:textId="77777777" w:rsidR="00B555B2" w:rsidRDefault="00B555B2" w:rsidP="00B555B2">
            <w:pPr>
              <w:tabs>
                <w:tab w:val="left" w:pos="369"/>
              </w:tabs>
              <w:spacing w:line="0" w:lineRule="atLeast"/>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Severe musculoskeletal pain</w:t>
            </w:r>
          </w:p>
          <w:p w14:paraId="15E68529" w14:textId="77777777" w:rsidR="00B555B2" w:rsidRPr="000662DB" w:rsidRDefault="00B555B2" w:rsidP="00B555B2">
            <w:pPr>
              <w:tabs>
                <w:tab w:val="left" w:pos="369"/>
              </w:tabs>
              <w:spacing w:line="0" w:lineRule="atLeast"/>
              <w:ind w:firstLine="0"/>
              <w:contextualSpacing/>
              <w:rPr>
                <w:rFonts w:ascii="Calibri" w:eastAsia="Times New Roman" w:hAnsi="Calibri" w:cs="Calibri"/>
                <w:sz w:val="20"/>
                <w:szCs w:val="20"/>
                <w:lang w:val="en-US"/>
              </w:rPr>
            </w:pPr>
          </w:p>
          <w:p w14:paraId="46624071" w14:textId="044C8856" w:rsidR="00B555B2" w:rsidRDefault="00B555B2" w:rsidP="00B555B2">
            <w:pPr>
              <w:spacing w:line="240" w:lineRule="auto"/>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Risk of osteonecrosis of the jaw</w:t>
            </w:r>
          </w:p>
          <w:p w14:paraId="3A8C4DD4" w14:textId="77777777" w:rsidR="00B555B2" w:rsidRDefault="00B555B2" w:rsidP="00B555B2">
            <w:pPr>
              <w:spacing w:line="240" w:lineRule="auto"/>
              <w:ind w:firstLine="0"/>
              <w:contextualSpacing/>
              <w:rPr>
                <w:rFonts w:ascii="Calibri" w:eastAsia="Times New Roman" w:hAnsi="Calibri" w:cs="Calibri"/>
                <w:sz w:val="20"/>
                <w:szCs w:val="20"/>
                <w:lang w:val="en-US"/>
              </w:rPr>
            </w:pPr>
          </w:p>
          <w:p w14:paraId="356BA5AE" w14:textId="0BA7D887" w:rsidR="00B555B2" w:rsidRDefault="00B555B2" w:rsidP="00B555B2">
            <w:pPr>
              <w:spacing w:line="240" w:lineRule="auto"/>
              <w:ind w:firstLine="0"/>
              <w:contextualSpacing/>
              <w:rPr>
                <w:rFonts w:ascii="Calibri" w:eastAsia="Times New Roman" w:hAnsi="Calibri" w:cs="Calibri"/>
                <w:sz w:val="20"/>
                <w:szCs w:val="20"/>
                <w:lang w:val="en-US"/>
              </w:rPr>
            </w:pPr>
            <w:proofErr w:type="gramStart"/>
            <w:r w:rsidRPr="000662DB">
              <w:rPr>
                <w:rFonts w:ascii="Calibri" w:eastAsia="Times New Roman" w:hAnsi="Calibri" w:cs="Calibri"/>
                <w:sz w:val="20"/>
                <w:szCs w:val="20"/>
                <w:lang w:val="en-US"/>
              </w:rPr>
              <w:t>Contraindicated</w:t>
            </w:r>
            <w:r w:rsidRPr="000662DB">
              <w:rPr>
                <w:rFonts w:ascii="Calibri" w:eastAsia="Times New Roman" w:hAnsi="Calibri" w:cs="Calibri"/>
                <w:sz w:val="20"/>
                <w:szCs w:val="20"/>
                <w:lang w:val="en-US"/>
              </w:rPr>
              <w:t xml:space="preserve"> </w:t>
            </w:r>
            <w:r>
              <w:rPr>
                <w:rFonts w:ascii="Calibri" w:eastAsia="Times New Roman" w:hAnsi="Calibri" w:cs="Calibri"/>
                <w:sz w:val="20"/>
                <w:szCs w:val="20"/>
                <w:lang w:val="en-US"/>
              </w:rPr>
              <w:t>in</w:t>
            </w:r>
            <w:proofErr w:type="gramEnd"/>
            <w:r>
              <w:rPr>
                <w:rFonts w:ascii="Calibri" w:eastAsia="Times New Roman" w:hAnsi="Calibri" w:cs="Calibri"/>
                <w:sz w:val="20"/>
                <w:szCs w:val="20"/>
                <w:lang w:val="en-US"/>
              </w:rPr>
              <w:t xml:space="preserve"> </w:t>
            </w:r>
            <w:r w:rsidRPr="000662DB">
              <w:rPr>
                <w:rFonts w:ascii="Calibri" w:eastAsia="Times New Roman" w:hAnsi="Calibri" w:cs="Calibri"/>
                <w:sz w:val="20"/>
                <w:szCs w:val="20"/>
                <w:lang w:val="en-US"/>
              </w:rPr>
              <w:t>pregnancy, hypocalcemia, and kidney disease</w:t>
            </w:r>
          </w:p>
          <w:p w14:paraId="7C711A18" w14:textId="77777777" w:rsidR="00B555B2" w:rsidRPr="000662DB" w:rsidRDefault="00B555B2" w:rsidP="00B555B2">
            <w:pPr>
              <w:spacing w:line="240" w:lineRule="auto"/>
              <w:ind w:firstLine="0"/>
              <w:contextualSpacing/>
              <w:rPr>
                <w:rFonts w:ascii="Calibri" w:eastAsia="Times New Roman" w:hAnsi="Calibri" w:cs="Calibri"/>
                <w:sz w:val="20"/>
                <w:szCs w:val="20"/>
                <w:lang w:val="en-US"/>
              </w:rPr>
            </w:pPr>
          </w:p>
          <w:p w14:paraId="10EB622B" w14:textId="77777777" w:rsidR="00882340" w:rsidRDefault="00B555B2" w:rsidP="00B555B2">
            <w:pPr>
              <w:tabs>
                <w:tab w:val="left" w:pos="369"/>
              </w:tabs>
              <w:spacing w:line="0" w:lineRule="atLeast"/>
              <w:ind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Concurrent calcium and vitamin D supplements may be required</w:t>
            </w:r>
          </w:p>
          <w:p w14:paraId="75374490" w14:textId="77777777" w:rsidR="00B555B2" w:rsidRDefault="00B555B2" w:rsidP="00B555B2">
            <w:pPr>
              <w:tabs>
                <w:tab w:val="left" w:pos="369"/>
              </w:tabs>
              <w:spacing w:line="0" w:lineRule="atLeast"/>
              <w:ind w:firstLine="0"/>
              <w:contextualSpacing/>
              <w:rPr>
                <w:rFonts w:ascii="Calibri" w:eastAsia="Times New Roman" w:hAnsi="Calibri" w:cs="Calibri"/>
                <w:sz w:val="20"/>
                <w:szCs w:val="20"/>
                <w:lang w:val="en-US"/>
              </w:rPr>
            </w:pPr>
          </w:p>
          <w:p w14:paraId="088FD7FB" w14:textId="048C6CFB" w:rsidR="00B555B2" w:rsidRPr="000662DB" w:rsidRDefault="00B555B2" w:rsidP="00B555B2">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Contraindicated with renal disease </w:t>
            </w:r>
          </w:p>
        </w:tc>
        <w:tc>
          <w:tcPr>
            <w:tcW w:w="2375" w:type="dxa"/>
          </w:tcPr>
          <w:p w14:paraId="4E60111A" w14:textId="77777777" w:rsidR="00882340" w:rsidRDefault="00B555B2" w:rsidP="00B555B2">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Assess bone mass before and during therapy.</w:t>
            </w:r>
          </w:p>
          <w:p w14:paraId="0CD3F456" w14:textId="4BCC5630" w:rsidR="00B555B2" w:rsidRPr="000662DB" w:rsidRDefault="00B555B2" w:rsidP="00B555B2">
            <w:pPr>
              <w:tabs>
                <w:tab w:val="left" w:pos="369"/>
              </w:tabs>
              <w:spacing w:line="0" w:lineRule="atLeast"/>
              <w:ind w:firstLine="0"/>
              <w:contextualSpacing/>
              <w:rPr>
                <w:rFonts w:ascii="Calibri" w:eastAsia="Times New Roman" w:hAnsi="Calibri" w:cs="Calibri"/>
                <w:sz w:val="20"/>
                <w:szCs w:val="20"/>
                <w:lang w:val="en-US"/>
              </w:rPr>
            </w:pPr>
            <w:proofErr w:type="gramStart"/>
            <w:r>
              <w:rPr>
                <w:rFonts w:ascii="Calibri" w:eastAsia="Times New Roman" w:hAnsi="Calibri" w:cs="Calibri"/>
                <w:sz w:val="20"/>
                <w:szCs w:val="20"/>
                <w:lang w:val="en-US"/>
              </w:rPr>
              <w:t>Assess</w:t>
            </w:r>
            <w:proofErr w:type="gramEnd"/>
            <w:r>
              <w:rPr>
                <w:rFonts w:ascii="Calibri" w:eastAsia="Times New Roman" w:hAnsi="Calibri" w:cs="Calibri"/>
                <w:sz w:val="20"/>
                <w:szCs w:val="20"/>
                <w:lang w:val="en-US"/>
              </w:rPr>
              <w:t xml:space="preserve"> for </w:t>
            </w:r>
            <w:proofErr w:type="spellStart"/>
            <w:r>
              <w:rPr>
                <w:rFonts w:ascii="Calibri" w:eastAsia="Times New Roman" w:hAnsi="Calibri" w:cs="Calibri"/>
                <w:sz w:val="20"/>
                <w:szCs w:val="20"/>
                <w:lang w:val="en-US"/>
              </w:rPr>
              <w:t>Pagets</w:t>
            </w:r>
            <w:proofErr w:type="spellEnd"/>
            <w:r>
              <w:rPr>
                <w:rFonts w:ascii="Calibri" w:eastAsia="Times New Roman" w:hAnsi="Calibri" w:cs="Calibri"/>
                <w:sz w:val="20"/>
                <w:szCs w:val="20"/>
                <w:lang w:val="en-US"/>
              </w:rPr>
              <w:t xml:space="preserve"> disease (bone pain, headache, decreased audio or vision)</w:t>
            </w:r>
          </w:p>
        </w:tc>
      </w:tr>
    </w:tbl>
    <w:p w14:paraId="57244F16" w14:textId="77777777" w:rsidR="003C5C3F" w:rsidRPr="000662DB" w:rsidRDefault="003C5C3F" w:rsidP="003C5C3F">
      <w:pPr>
        <w:spacing w:after="0" w:line="240" w:lineRule="auto"/>
        <w:ind w:firstLine="720"/>
        <w:rPr>
          <w:rFonts w:ascii="Calibri" w:eastAsia="Calibri" w:hAnsi="Calibri" w:cs="Times New Roman"/>
          <w:bCs/>
        </w:rPr>
      </w:pPr>
    </w:p>
    <w:p w14:paraId="190BFD05" w14:textId="77777777" w:rsidR="009946EA" w:rsidRDefault="009946EA"/>
    <w:sectPr w:rsidR="009946EA" w:rsidSect="003C5C3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62CA1"/>
    <w:multiLevelType w:val="hybridMultilevel"/>
    <w:tmpl w:val="176AC6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3B4C49"/>
    <w:multiLevelType w:val="hybridMultilevel"/>
    <w:tmpl w:val="7F241A9E"/>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924148"/>
    <w:multiLevelType w:val="hybridMultilevel"/>
    <w:tmpl w:val="663EB6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D2D6CDF"/>
    <w:multiLevelType w:val="hybridMultilevel"/>
    <w:tmpl w:val="E9483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7875506">
    <w:abstractNumId w:val="1"/>
  </w:num>
  <w:num w:numId="2" w16cid:durableId="1973290354">
    <w:abstractNumId w:val="2"/>
  </w:num>
  <w:num w:numId="3" w16cid:durableId="1501626862">
    <w:abstractNumId w:val="0"/>
  </w:num>
  <w:num w:numId="4" w16cid:durableId="1993829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3F"/>
    <w:rsid w:val="00392191"/>
    <w:rsid w:val="003C5C3F"/>
    <w:rsid w:val="007E7B47"/>
    <w:rsid w:val="00882340"/>
    <w:rsid w:val="008A5CBA"/>
    <w:rsid w:val="008E43D1"/>
    <w:rsid w:val="009946EA"/>
    <w:rsid w:val="009C4881"/>
    <w:rsid w:val="00B555B2"/>
    <w:rsid w:val="00B7417F"/>
    <w:rsid w:val="00EB6623"/>
    <w:rsid w:val="00F3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C768"/>
  <w15:chartTrackingRefBased/>
  <w15:docId w15:val="{75D85299-12B9-4F6E-B733-7DE7D7A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3F"/>
    <w:pPr>
      <w:spacing w:line="259" w:lineRule="auto"/>
    </w:pPr>
    <w:rPr>
      <w:kern w:val="0"/>
      <w:sz w:val="22"/>
      <w:szCs w:val="22"/>
      <w:lang w:val="en-CA"/>
      <w14:ligatures w14:val="none"/>
    </w:rPr>
  </w:style>
  <w:style w:type="paragraph" w:styleId="Heading1">
    <w:name w:val="heading 1"/>
    <w:basedOn w:val="Normal"/>
    <w:next w:val="Normal"/>
    <w:link w:val="Heading1Char"/>
    <w:uiPriority w:val="9"/>
    <w:qFormat/>
    <w:rsid w:val="003C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C3F"/>
    <w:rPr>
      <w:rFonts w:eastAsiaTheme="majorEastAsia" w:cstheme="majorBidi"/>
      <w:color w:val="272727" w:themeColor="text1" w:themeTint="D8"/>
    </w:rPr>
  </w:style>
  <w:style w:type="paragraph" w:styleId="Title">
    <w:name w:val="Title"/>
    <w:basedOn w:val="Normal"/>
    <w:next w:val="Normal"/>
    <w:link w:val="TitleChar"/>
    <w:uiPriority w:val="10"/>
    <w:qFormat/>
    <w:rsid w:val="003C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C3F"/>
    <w:pPr>
      <w:spacing w:before="160"/>
      <w:jc w:val="center"/>
    </w:pPr>
    <w:rPr>
      <w:i/>
      <w:iCs/>
      <w:color w:val="404040" w:themeColor="text1" w:themeTint="BF"/>
    </w:rPr>
  </w:style>
  <w:style w:type="character" w:customStyle="1" w:styleId="QuoteChar">
    <w:name w:val="Quote Char"/>
    <w:basedOn w:val="DefaultParagraphFont"/>
    <w:link w:val="Quote"/>
    <w:uiPriority w:val="29"/>
    <w:rsid w:val="003C5C3F"/>
    <w:rPr>
      <w:i/>
      <w:iCs/>
      <w:color w:val="404040" w:themeColor="text1" w:themeTint="BF"/>
    </w:rPr>
  </w:style>
  <w:style w:type="paragraph" w:styleId="ListParagraph">
    <w:name w:val="List Paragraph"/>
    <w:basedOn w:val="Normal"/>
    <w:uiPriority w:val="34"/>
    <w:qFormat/>
    <w:rsid w:val="003C5C3F"/>
    <w:pPr>
      <w:ind w:left="720"/>
      <w:contextualSpacing/>
    </w:pPr>
  </w:style>
  <w:style w:type="character" w:styleId="IntenseEmphasis">
    <w:name w:val="Intense Emphasis"/>
    <w:basedOn w:val="DefaultParagraphFont"/>
    <w:uiPriority w:val="21"/>
    <w:qFormat/>
    <w:rsid w:val="003C5C3F"/>
    <w:rPr>
      <w:i/>
      <w:iCs/>
      <w:color w:val="0F4761" w:themeColor="accent1" w:themeShade="BF"/>
    </w:rPr>
  </w:style>
  <w:style w:type="paragraph" w:styleId="IntenseQuote">
    <w:name w:val="Intense Quote"/>
    <w:basedOn w:val="Normal"/>
    <w:next w:val="Normal"/>
    <w:link w:val="IntenseQuoteChar"/>
    <w:uiPriority w:val="30"/>
    <w:qFormat/>
    <w:rsid w:val="003C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C3F"/>
    <w:rPr>
      <w:i/>
      <w:iCs/>
      <w:color w:val="0F4761" w:themeColor="accent1" w:themeShade="BF"/>
    </w:rPr>
  </w:style>
  <w:style w:type="character" w:styleId="IntenseReference">
    <w:name w:val="Intense Reference"/>
    <w:basedOn w:val="DefaultParagraphFont"/>
    <w:uiPriority w:val="32"/>
    <w:qFormat/>
    <w:rsid w:val="003C5C3F"/>
    <w:rPr>
      <w:b/>
      <w:bCs/>
      <w:smallCaps/>
      <w:color w:val="0F4761" w:themeColor="accent1" w:themeShade="BF"/>
      <w:spacing w:val="5"/>
    </w:rPr>
  </w:style>
  <w:style w:type="table" w:customStyle="1" w:styleId="TableGrid1">
    <w:name w:val="Table Grid1"/>
    <w:basedOn w:val="TableNormal"/>
    <w:next w:val="TableGrid"/>
    <w:uiPriority w:val="39"/>
    <w:rsid w:val="003C5C3F"/>
    <w:pPr>
      <w:spacing w:after="0" w:line="240" w:lineRule="auto"/>
      <w:ind w:firstLine="720"/>
    </w:pPr>
    <w:rPr>
      <w:bCs/>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501</Words>
  <Characters>3288</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 Degenhardt</dc:creator>
  <cp:keywords/>
  <dc:description/>
  <cp:lastModifiedBy>Andrea Sullivan Degenhardt</cp:lastModifiedBy>
  <cp:revision>1</cp:revision>
  <dcterms:created xsi:type="dcterms:W3CDTF">2026-03-27T19:50:00Z</dcterms:created>
  <dcterms:modified xsi:type="dcterms:W3CDTF">2026-03-27T20:51:00Z</dcterms:modified>
</cp:coreProperties>
</file>