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82F3" w14:textId="121782F3" w:rsidR="00D52866" w:rsidRPr="00216521" w:rsidRDefault="0033148E">
      <w:pPr>
        <w:pStyle w:val="Heading1"/>
        <w:rPr>
          <w:rFonts w:ascii="Aptos" w:hAnsi="Aptos"/>
          <w:color w:val="000000" w:themeColor="text1"/>
          <w:sz w:val="20"/>
          <w:szCs w:val="20"/>
        </w:rPr>
      </w:pPr>
      <w:r w:rsidRPr="00216521">
        <w:rPr>
          <w:rFonts w:ascii="Aptos" w:hAnsi="Aptos"/>
          <w:color w:val="000000" w:themeColor="text1"/>
          <w:sz w:val="20"/>
          <w:szCs w:val="20"/>
        </w:rPr>
        <w:t>Baclofen</w:t>
      </w:r>
      <w:r w:rsidRPr="00216521">
        <w:rPr>
          <w:rFonts w:ascii="Aptos" w:hAnsi="Aptos"/>
          <w:color w:val="000000" w:themeColor="text1"/>
          <w:sz w:val="20"/>
          <w:szCs w:val="20"/>
        </w:rPr>
        <w:t xml:space="preserve"> </w:t>
      </w:r>
      <w:r w:rsidR="009E670C" w:rsidRPr="00216521">
        <w:rPr>
          <w:rFonts w:ascii="Aptos" w:hAnsi="Aptos"/>
          <w:color w:val="000000" w:themeColor="text1"/>
          <w:sz w:val="20"/>
          <w:szCs w:val="20"/>
        </w:rPr>
        <w:t xml:space="preserve">Medication Card </w:t>
      </w:r>
    </w:p>
    <w:tbl>
      <w:tblPr>
        <w:tblStyle w:val="TableGrid"/>
        <w:tblW w:w="0" w:type="auto"/>
        <w:tblLook w:val="04A0" w:firstRow="1" w:lastRow="0" w:firstColumn="1" w:lastColumn="0" w:noHBand="0" w:noVBand="1"/>
      </w:tblPr>
      <w:tblGrid>
        <w:gridCol w:w="2372"/>
        <w:gridCol w:w="1942"/>
        <w:gridCol w:w="2159"/>
        <w:gridCol w:w="2157"/>
      </w:tblGrid>
      <w:tr w:rsidR="00D52866" w:rsidRPr="00216521" w14:paraId="1FDF65CB" w14:textId="77777777" w:rsidTr="00216521">
        <w:tc>
          <w:tcPr>
            <w:tcW w:w="2376" w:type="dxa"/>
          </w:tcPr>
          <w:p w14:paraId="0E77840A" w14:textId="77777777" w:rsidR="00D52866" w:rsidRPr="00216521" w:rsidRDefault="009E670C">
            <w:pPr>
              <w:rPr>
                <w:rFonts w:ascii="Aptos" w:hAnsi="Aptos"/>
                <w:color w:val="000000" w:themeColor="text1"/>
                <w:sz w:val="20"/>
                <w:szCs w:val="20"/>
              </w:rPr>
            </w:pPr>
            <w:r w:rsidRPr="00216521">
              <w:rPr>
                <w:rFonts w:ascii="Aptos" w:hAnsi="Aptos"/>
                <w:b/>
                <w:bCs/>
                <w:color w:val="000000" w:themeColor="text1"/>
                <w:sz w:val="20"/>
                <w:szCs w:val="20"/>
              </w:rPr>
              <w:t>Class:</w:t>
            </w:r>
            <w:r w:rsidRPr="00216521">
              <w:rPr>
                <w:rFonts w:ascii="Aptos" w:hAnsi="Aptos"/>
                <w:color w:val="000000" w:themeColor="text1"/>
                <w:sz w:val="20"/>
                <w:szCs w:val="20"/>
              </w:rPr>
              <w:br/>
              <w:t>Centrally Acting Muscle Relaxant</w:t>
            </w:r>
            <w:r w:rsidRP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b/>
                <w:bCs/>
                <w:color w:val="000000" w:themeColor="text1"/>
                <w:sz w:val="20"/>
                <w:szCs w:val="20"/>
              </w:rPr>
              <w:t>Prototype(s):</w:t>
            </w:r>
            <w:r w:rsidRPr="00216521">
              <w:rPr>
                <w:rFonts w:ascii="Aptos" w:hAnsi="Aptos"/>
                <w:color w:val="000000" w:themeColor="text1"/>
                <w:sz w:val="20"/>
                <w:szCs w:val="20"/>
              </w:rPr>
              <w:br/>
              <w:t>Baclofen</w:t>
            </w:r>
          </w:p>
        </w:tc>
        <w:tc>
          <w:tcPr>
            <w:tcW w:w="6264" w:type="dxa"/>
            <w:gridSpan w:val="3"/>
          </w:tcPr>
          <w:p w14:paraId="1A112C5B" w14:textId="77777777" w:rsidR="00D52866" w:rsidRPr="00216521" w:rsidRDefault="009E670C">
            <w:pPr>
              <w:rPr>
                <w:rFonts w:ascii="Aptos" w:hAnsi="Aptos"/>
                <w:color w:val="000000" w:themeColor="text1"/>
                <w:sz w:val="20"/>
                <w:szCs w:val="20"/>
              </w:rPr>
            </w:pPr>
            <w:r w:rsidRPr="00216521">
              <w:rPr>
                <w:rFonts w:ascii="Aptos" w:hAnsi="Aptos"/>
                <w:b/>
                <w:bCs/>
                <w:color w:val="000000" w:themeColor="text1"/>
                <w:sz w:val="20"/>
                <w:szCs w:val="20"/>
              </w:rPr>
              <w:t>Indications:</w:t>
            </w:r>
            <w:r w:rsidRPr="00216521">
              <w:rPr>
                <w:rFonts w:ascii="Aptos" w:hAnsi="Aptos"/>
                <w:color w:val="000000" w:themeColor="text1"/>
                <w:sz w:val="20"/>
                <w:szCs w:val="20"/>
              </w:rPr>
              <w:br/>
            </w:r>
            <w:r w:rsidRPr="00216521">
              <w:rPr>
                <w:rFonts w:ascii="Aptos" w:hAnsi="Aptos"/>
                <w:color w:val="000000" w:themeColor="text1"/>
                <w:sz w:val="20"/>
                <w:szCs w:val="20"/>
              </w:rPr>
              <w:t>Muscle symptoms (such as spasm, pain, and stiffness, caused by multiple sclerosis, spinal cord injuries, or other spinal cord disorders).</w:t>
            </w:r>
          </w:p>
        </w:tc>
      </w:tr>
      <w:tr w:rsidR="00D52866" w:rsidRPr="00216521" w14:paraId="3202CD58" w14:textId="77777777">
        <w:tc>
          <w:tcPr>
            <w:tcW w:w="8640" w:type="dxa"/>
            <w:gridSpan w:val="4"/>
          </w:tcPr>
          <w:p w14:paraId="5850E234" w14:textId="77777777" w:rsidR="00D52866" w:rsidRPr="00216521" w:rsidRDefault="009E670C">
            <w:pPr>
              <w:rPr>
                <w:rFonts w:ascii="Aptos" w:hAnsi="Aptos"/>
                <w:color w:val="000000" w:themeColor="text1"/>
                <w:sz w:val="20"/>
                <w:szCs w:val="20"/>
              </w:rPr>
            </w:pPr>
            <w:r w:rsidRPr="00216521">
              <w:rPr>
                <w:rFonts w:ascii="Aptos" w:hAnsi="Aptos"/>
                <w:b/>
                <w:bCs/>
                <w:color w:val="000000" w:themeColor="text1"/>
                <w:sz w:val="20"/>
                <w:szCs w:val="20"/>
              </w:rPr>
              <w:t>Mechanism of Action:</w:t>
            </w:r>
            <w:r w:rsidRPr="00216521">
              <w:rPr>
                <w:rFonts w:ascii="Aptos" w:hAnsi="Aptos"/>
                <w:color w:val="000000" w:themeColor="text1"/>
                <w:sz w:val="20"/>
                <w:szCs w:val="20"/>
              </w:rPr>
              <w:br/>
              <w:t>Suppresses hyperactive reflexes in the spinal cord involved in the regulation of muscle movements. It also is structurally like GABA, an inhibitory neurotransmitter, leading to an inhibitory action of neuronal activity in the brain and spinal cord.</w:t>
            </w:r>
          </w:p>
        </w:tc>
      </w:tr>
      <w:tr w:rsidR="00D52866" w:rsidRPr="00216521" w14:paraId="71F6D2E1" w14:textId="77777777" w:rsidTr="00216521">
        <w:tc>
          <w:tcPr>
            <w:tcW w:w="2376" w:type="dxa"/>
          </w:tcPr>
          <w:p w14:paraId="308C6463" w14:textId="118FC7C6" w:rsidR="00D52866" w:rsidRPr="00216521" w:rsidRDefault="009E670C">
            <w:pPr>
              <w:rPr>
                <w:rFonts w:ascii="Aptos" w:hAnsi="Aptos"/>
                <w:color w:val="000000" w:themeColor="text1"/>
                <w:sz w:val="20"/>
                <w:szCs w:val="20"/>
              </w:rPr>
            </w:pPr>
            <w:r w:rsidRPr="00216521">
              <w:rPr>
                <w:rFonts w:ascii="Aptos" w:hAnsi="Aptos"/>
                <w:b/>
                <w:bCs/>
                <w:color w:val="000000" w:themeColor="text1"/>
                <w:sz w:val="20"/>
                <w:szCs w:val="20"/>
              </w:rPr>
              <w:t>Administration:</w:t>
            </w:r>
            <w:r w:rsidRPr="00216521">
              <w:rPr>
                <w:rFonts w:ascii="Aptos" w:hAnsi="Aptos"/>
                <w:color w:val="000000" w:themeColor="text1"/>
                <w:sz w:val="20"/>
                <w:szCs w:val="20"/>
              </w:rPr>
              <w:br/>
            </w:r>
            <w:r w:rsidRPr="00216521">
              <w:rPr>
                <w:rFonts w:ascii="Aptos" w:hAnsi="Aptos"/>
                <w:color w:val="000000" w:themeColor="text1"/>
                <w:sz w:val="20"/>
                <w:szCs w:val="20"/>
              </w:rPr>
              <w:t>Baclofen is safe for clients 12 years and older.</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Do not take this drug during pregnancy.</w:t>
            </w:r>
            <w:r w:rsidR="00216521">
              <w:rPr>
                <w:rFonts w:ascii="Aptos" w:hAnsi="Aptos"/>
                <w:color w:val="000000" w:themeColor="text1"/>
                <w:sz w:val="20"/>
                <w:szCs w:val="20"/>
              </w:rPr>
              <w:br/>
            </w:r>
            <w:r w:rsidR="00216521">
              <w:rPr>
                <w:rFonts w:ascii="Aptos" w:hAnsi="Aptos"/>
                <w:color w:val="000000" w:themeColor="text1"/>
                <w:sz w:val="20"/>
                <w:szCs w:val="20"/>
              </w:rPr>
              <w:br/>
            </w:r>
            <w:r w:rsidRPr="00216521">
              <w:rPr>
                <w:rFonts w:ascii="Aptos" w:hAnsi="Aptos"/>
                <w:color w:val="000000" w:themeColor="text1"/>
                <w:sz w:val="20"/>
                <w:szCs w:val="20"/>
              </w:rPr>
              <w:t>PO and intrathecal routes.</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Dosages are titrated up over 1–2 weeks.</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Take with or without food.</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Excretion: Kidneys, lower dosages if renal insufficiency.</w:t>
            </w:r>
          </w:p>
        </w:tc>
        <w:tc>
          <w:tcPr>
            <w:tcW w:w="1944" w:type="dxa"/>
          </w:tcPr>
          <w:p w14:paraId="50329143" w14:textId="7DD3F331" w:rsidR="00216521" w:rsidRPr="00216521" w:rsidRDefault="009E670C">
            <w:pPr>
              <w:rPr>
                <w:rFonts w:ascii="Aptos" w:hAnsi="Aptos"/>
                <w:color w:val="000000" w:themeColor="text1"/>
                <w:sz w:val="20"/>
                <w:szCs w:val="20"/>
              </w:rPr>
            </w:pPr>
            <w:r w:rsidRPr="00216521">
              <w:rPr>
                <w:rFonts w:ascii="Aptos" w:hAnsi="Aptos"/>
                <w:b/>
                <w:bCs/>
                <w:color w:val="000000" w:themeColor="text1"/>
                <w:sz w:val="20"/>
                <w:szCs w:val="20"/>
              </w:rPr>
              <w:t>Side Effects:</w:t>
            </w:r>
            <w:r w:rsidRPr="00216521">
              <w:rPr>
                <w:rFonts w:ascii="Aptos" w:hAnsi="Aptos"/>
                <w:color w:val="000000" w:themeColor="text1"/>
                <w:sz w:val="20"/>
                <w:szCs w:val="20"/>
              </w:rPr>
              <w:br/>
            </w:r>
            <w:r w:rsidR="00216521" w:rsidRPr="00216521">
              <w:rPr>
                <w:rFonts w:ascii="Aptos" w:hAnsi="Aptos"/>
                <w:color w:val="000000" w:themeColor="text1"/>
                <w:sz w:val="20"/>
                <w:szCs w:val="20"/>
              </w:rPr>
              <w:br/>
            </w:r>
            <w:r w:rsidRPr="00216521">
              <w:rPr>
                <w:rFonts w:ascii="Aptos" w:hAnsi="Aptos"/>
                <w:color w:val="000000" w:themeColor="text1"/>
                <w:sz w:val="20"/>
                <w:szCs w:val="20"/>
              </w:rPr>
              <w:t>Drowsiness, dizziness or light-headedness, and confusion.</w:t>
            </w:r>
            <w:r w:rsidRPr="00216521">
              <w:rPr>
                <w:rFonts w:ascii="Aptos" w:hAnsi="Aptos"/>
                <w:color w:val="000000" w:themeColor="text1"/>
                <w:sz w:val="20"/>
                <w:szCs w:val="20"/>
              </w:rPr>
              <w:br/>
            </w:r>
          </w:p>
          <w:p w14:paraId="14F40561" w14:textId="1C6B01D9" w:rsidR="00D52866" w:rsidRPr="00216521" w:rsidRDefault="009E670C">
            <w:pPr>
              <w:rPr>
                <w:rFonts w:ascii="Aptos" w:hAnsi="Aptos"/>
                <w:color w:val="000000" w:themeColor="text1"/>
                <w:sz w:val="20"/>
                <w:szCs w:val="20"/>
              </w:rPr>
            </w:pPr>
            <w:r w:rsidRPr="00216521">
              <w:rPr>
                <w:rFonts w:ascii="Aptos" w:hAnsi="Aptos"/>
                <w:color w:val="000000" w:themeColor="text1"/>
                <w:sz w:val="20"/>
                <w:szCs w:val="20"/>
              </w:rPr>
              <w:t>GI/GU: nausea, constipation, sedation, and urinary retention.</w:t>
            </w:r>
            <w:r w:rsidRPr="00216521">
              <w:rPr>
                <w:rFonts w:ascii="Aptos" w:hAnsi="Aptos"/>
                <w:color w:val="000000" w:themeColor="text1"/>
                <w:sz w:val="20"/>
                <w:szCs w:val="20"/>
              </w:rPr>
              <w:br/>
            </w:r>
            <w:r w:rsidR="00216521" w:rsidRPr="00216521">
              <w:rPr>
                <w:rFonts w:ascii="Aptos" w:hAnsi="Aptos"/>
                <w:color w:val="000000" w:themeColor="text1"/>
                <w:sz w:val="20"/>
                <w:szCs w:val="20"/>
              </w:rPr>
              <w:br/>
            </w:r>
            <w:r w:rsidRPr="00216521">
              <w:rPr>
                <w:rFonts w:ascii="Aptos" w:hAnsi="Aptos"/>
                <w:color w:val="000000" w:themeColor="text1"/>
                <w:sz w:val="20"/>
                <w:szCs w:val="20"/>
              </w:rPr>
              <w:t>Potentially Fatal: Respiratory or CV depression, seizures.</w:t>
            </w:r>
            <w:r w:rsidRPr="00216521">
              <w:rPr>
                <w:rFonts w:ascii="Aptos" w:hAnsi="Aptos"/>
                <w:color w:val="000000" w:themeColor="text1"/>
                <w:sz w:val="20"/>
                <w:szCs w:val="20"/>
              </w:rPr>
              <w:br/>
            </w:r>
            <w:r w:rsidR="00216521" w:rsidRPr="00216521">
              <w:rPr>
                <w:rFonts w:ascii="Aptos" w:hAnsi="Aptos"/>
                <w:color w:val="000000" w:themeColor="text1"/>
                <w:sz w:val="20"/>
                <w:szCs w:val="20"/>
              </w:rPr>
              <w:br/>
            </w:r>
            <w:r w:rsidRPr="00216521">
              <w:rPr>
                <w:rFonts w:ascii="Aptos" w:hAnsi="Aptos"/>
                <w:color w:val="000000" w:themeColor="text1"/>
                <w:sz w:val="20"/>
                <w:szCs w:val="20"/>
              </w:rPr>
              <w:t>No antidote.</w:t>
            </w:r>
            <w:r w:rsidRPr="00216521">
              <w:rPr>
                <w:rFonts w:ascii="Aptos" w:hAnsi="Aptos"/>
                <w:color w:val="000000" w:themeColor="text1"/>
                <w:sz w:val="20"/>
                <w:szCs w:val="20"/>
              </w:rPr>
              <w:br/>
            </w:r>
            <w:r w:rsidRPr="00216521">
              <w:rPr>
                <w:rFonts w:ascii="Aptos" w:hAnsi="Aptos"/>
                <w:color w:val="000000" w:themeColor="text1"/>
                <w:sz w:val="20"/>
                <w:szCs w:val="20"/>
              </w:rPr>
              <w:br/>
              <w:t>SAFETY WARNING:</w:t>
            </w:r>
            <w:r w:rsidRPr="00216521">
              <w:rPr>
                <w:rFonts w:ascii="Aptos" w:hAnsi="Aptos"/>
                <w:color w:val="000000" w:themeColor="text1"/>
                <w:sz w:val="20"/>
                <w:szCs w:val="20"/>
              </w:rPr>
              <w:br/>
              <w:t>Abrupt discontinuation can cause serious reactions.</w:t>
            </w:r>
          </w:p>
        </w:tc>
        <w:tc>
          <w:tcPr>
            <w:tcW w:w="2160" w:type="dxa"/>
          </w:tcPr>
          <w:p w14:paraId="707F24CA" w14:textId="3CCCA456" w:rsidR="00D52866" w:rsidRPr="00216521" w:rsidRDefault="009E670C">
            <w:pPr>
              <w:rPr>
                <w:rFonts w:ascii="Aptos" w:hAnsi="Aptos"/>
                <w:color w:val="000000" w:themeColor="text1"/>
                <w:sz w:val="20"/>
                <w:szCs w:val="20"/>
              </w:rPr>
            </w:pPr>
            <w:r w:rsidRPr="00216521">
              <w:rPr>
                <w:rFonts w:ascii="Aptos" w:hAnsi="Aptos"/>
                <w:b/>
                <w:bCs/>
                <w:color w:val="000000" w:themeColor="text1"/>
                <w:sz w:val="20"/>
                <w:szCs w:val="20"/>
              </w:rPr>
              <w:t>Contraindications:</w:t>
            </w:r>
            <w:r w:rsidRPr="00216521">
              <w:rPr>
                <w:rFonts w:ascii="Aptos" w:hAnsi="Aptos"/>
                <w:color w:val="000000" w:themeColor="text1"/>
                <w:sz w:val="20"/>
                <w:szCs w:val="20"/>
              </w:rPr>
              <w:br/>
            </w:r>
            <w:r w:rsidRPr="00216521">
              <w:rPr>
                <w:rFonts w:ascii="Aptos" w:hAnsi="Aptos"/>
                <w:color w:val="000000" w:themeColor="text1"/>
                <w:sz w:val="20"/>
                <w:szCs w:val="20"/>
              </w:rPr>
              <w:t>Hypersensitivity.</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Active peptic ulcer disease.</w:t>
            </w:r>
            <w:r w:rsidRP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Caution for use with renal impairment; dosage should be lowered.</w:t>
            </w:r>
          </w:p>
        </w:tc>
        <w:tc>
          <w:tcPr>
            <w:tcW w:w="2160" w:type="dxa"/>
          </w:tcPr>
          <w:p w14:paraId="58B34F52" w14:textId="1C681778" w:rsidR="00D52866" w:rsidRPr="00216521" w:rsidRDefault="009E670C">
            <w:pPr>
              <w:rPr>
                <w:rFonts w:ascii="Aptos" w:hAnsi="Aptos"/>
                <w:color w:val="000000" w:themeColor="text1"/>
                <w:sz w:val="20"/>
                <w:szCs w:val="20"/>
              </w:rPr>
            </w:pPr>
            <w:r w:rsidRPr="00216521">
              <w:rPr>
                <w:rFonts w:ascii="Aptos" w:hAnsi="Aptos"/>
                <w:b/>
                <w:bCs/>
                <w:color w:val="000000" w:themeColor="text1"/>
                <w:sz w:val="20"/>
                <w:szCs w:val="20"/>
              </w:rPr>
              <w:t>Nursing Considerations:</w:t>
            </w:r>
            <w:r w:rsidRPr="00216521">
              <w:rPr>
                <w:rFonts w:ascii="Aptos" w:hAnsi="Aptos"/>
                <w:color w:val="000000" w:themeColor="text1"/>
                <w:sz w:val="20"/>
                <w:szCs w:val="20"/>
              </w:rPr>
              <w:br/>
            </w:r>
            <w:r w:rsidRPr="00216521">
              <w:rPr>
                <w:rFonts w:ascii="Aptos" w:hAnsi="Aptos"/>
                <w:color w:val="000000" w:themeColor="text1"/>
                <w:sz w:val="20"/>
                <w:szCs w:val="20"/>
              </w:rPr>
              <w:t>Assess for allergies.</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Avoid abrupt withdrawal.</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Avoid use with alcohol or other CNS depressants.</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Report frequent or painful urination, constipation, nausea, headache, insomnia, or confusion that persists or is severe.</w:t>
            </w:r>
            <w:r w:rsidR="00216521">
              <w:rPr>
                <w:rFonts w:ascii="Aptos" w:hAnsi="Aptos"/>
                <w:color w:val="000000" w:themeColor="text1"/>
                <w:sz w:val="20"/>
                <w:szCs w:val="20"/>
              </w:rPr>
              <w:br/>
            </w:r>
            <w:r w:rsidRPr="00216521">
              <w:rPr>
                <w:rFonts w:ascii="Aptos" w:hAnsi="Aptos"/>
                <w:color w:val="000000" w:themeColor="text1"/>
                <w:sz w:val="20"/>
                <w:szCs w:val="20"/>
              </w:rPr>
              <w:br/>
            </w:r>
            <w:r w:rsidRPr="00216521">
              <w:rPr>
                <w:rFonts w:ascii="Aptos" w:hAnsi="Aptos"/>
                <w:color w:val="000000" w:themeColor="text1"/>
                <w:sz w:val="20"/>
                <w:szCs w:val="20"/>
              </w:rPr>
              <w:t>Potential for orthostatic hypotension; change positions slowly.</w:t>
            </w:r>
          </w:p>
        </w:tc>
      </w:tr>
    </w:tbl>
    <w:p w14:paraId="35788A9B" w14:textId="77777777" w:rsidR="009E670C" w:rsidRDefault="009E670C"/>
    <w:p w14:paraId="55DCF535" w14:textId="4EF579A2" w:rsidR="00F20B56" w:rsidRDefault="00F20B56"/>
    <w:sectPr w:rsidR="00F20B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3422121">
    <w:abstractNumId w:val="8"/>
  </w:num>
  <w:num w:numId="2" w16cid:durableId="1750954938">
    <w:abstractNumId w:val="6"/>
  </w:num>
  <w:num w:numId="3" w16cid:durableId="1852912422">
    <w:abstractNumId w:val="5"/>
  </w:num>
  <w:num w:numId="4" w16cid:durableId="588389496">
    <w:abstractNumId w:val="4"/>
  </w:num>
  <w:num w:numId="5" w16cid:durableId="1577938107">
    <w:abstractNumId w:val="7"/>
  </w:num>
  <w:num w:numId="6" w16cid:durableId="900291333">
    <w:abstractNumId w:val="3"/>
  </w:num>
  <w:num w:numId="7" w16cid:durableId="272323405">
    <w:abstractNumId w:val="2"/>
  </w:num>
  <w:num w:numId="8" w16cid:durableId="955451897">
    <w:abstractNumId w:val="1"/>
  </w:num>
  <w:num w:numId="9" w16cid:durableId="93579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6521"/>
    <w:rsid w:val="00261E4D"/>
    <w:rsid w:val="0029639D"/>
    <w:rsid w:val="00326F90"/>
    <w:rsid w:val="0033148E"/>
    <w:rsid w:val="00AA1D8D"/>
    <w:rsid w:val="00B47730"/>
    <w:rsid w:val="00CB0664"/>
    <w:rsid w:val="00D52866"/>
    <w:rsid w:val="00E1406A"/>
    <w:rsid w:val="00F20B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BB175"/>
  <w14:defaultImageDpi w14:val="300"/>
  <w15:docId w15:val="{BC0F7488-7DA1-7D47-8CF8-B40A6924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1300</Characters>
  <Application>Microsoft Office Word</Application>
  <DocSecurity>0</DocSecurity>
  <Lines>86</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Obando Almache</cp:lastModifiedBy>
  <cp:revision>4</cp:revision>
  <dcterms:created xsi:type="dcterms:W3CDTF">2026-01-15T18:27:00Z</dcterms:created>
  <dcterms:modified xsi:type="dcterms:W3CDTF">2026-01-15T18:34:00Z</dcterms:modified>
  <cp:category/>
</cp:coreProperties>
</file>