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F297" w14:textId="77777777" w:rsidR="00FE5D11" w:rsidRPr="00FE5D11" w:rsidRDefault="00FE5D11" w:rsidP="00FE5D11">
      <w:pPr>
        <w:spacing w:after="0" w:line="240" w:lineRule="auto"/>
        <w:rPr>
          <w:b/>
          <w:bCs/>
          <w:sz w:val="20"/>
          <w:szCs w:val="20"/>
          <w:lang w:val="en-US"/>
        </w:rPr>
      </w:pPr>
      <w:r w:rsidRPr="00FE5D11">
        <w:rPr>
          <w:b/>
          <w:bCs/>
          <w:sz w:val="20"/>
          <w:szCs w:val="20"/>
          <w:lang w:val="en-US"/>
        </w:rPr>
        <w:t>Atropine Medication Card</w:t>
      </w:r>
    </w:p>
    <w:tbl>
      <w:tblPr>
        <w:tblStyle w:val="TableGrid"/>
        <w:tblW w:w="0" w:type="auto"/>
        <w:tblLook w:val="04A0" w:firstRow="1" w:lastRow="0" w:firstColumn="1" w:lastColumn="0" w:noHBand="0" w:noVBand="1"/>
      </w:tblPr>
      <w:tblGrid>
        <w:gridCol w:w="2337"/>
        <w:gridCol w:w="2337"/>
        <w:gridCol w:w="2338"/>
        <w:gridCol w:w="2338"/>
      </w:tblGrid>
      <w:tr w:rsidR="00FE5D11" w:rsidRPr="00FE5D11" w14:paraId="2F7C694A" w14:textId="77777777" w:rsidTr="00E76986">
        <w:trPr>
          <w:trHeight w:val="1103"/>
        </w:trPr>
        <w:tc>
          <w:tcPr>
            <w:tcW w:w="4674" w:type="dxa"/>
            <w:gridSpan w:val="2"/>
          </w:tcPr>
          <w:p w14:paraId="12871E17" w14:textId="77777777" w:rsidR="00FE5D11" w:rsidRPr="00FE5D11" w:rsidRDefault="00FE5D11" w:rsidP="00E76986">
            <w:pPr>
              <w:rPr>
                <w:sz w:val="20"/>
                <w:szCs w:val="20"/>
                <w:lang w:val="en-US"/>
              </w:rPr>
            </w:pPr>
            <w:r w:rsidRPr="00FE5D11">
              <w:rPr>
                <w:b/>
                <w:bCs/>
                <w:sz w:val="20"/>
                <w:szCs w:val="20"/>
                <w:lang w:val="en-US"/>
              </w:rPr>
              <w:t>Class:</w:t>
            </w:r>
            <w:r w:rsidRPr="00FE5D11">
              <w:rPr>
                <w:sz w:val="20"/>
                <w:szCs w:val="20"/>
                <w:lang w:val="en-US"/>
              </w:rPr>
              <w:t xml:space="preserve"> Muscarinic Antagonist</w:t>
            </w:r>
          </w:p>
          <w:p w14:paraId="649A0649" w14:textId="77777777" w:rsidR="00FE5D11" w:rsidRPr="00FE5D11" w:rsidRDefault="00FE5D11" w:rsidP="00E76986">
            <w:pPr>
              <w:rPr>
                <w:sz w:val="20"/>
                <w:szCs w:val="20"/>
                <w:lang w:val="en-US"/>
              </w:rPr>
            </w:pPr>
            <w:r w:rsidRPr="00FE5D11">
              <w:rPr>
                <w:b/>
                <w:bCs/>
                <w:sz w:val="20"/>
                <w:szCs w:val="20"/>
                <w:lang w:val="en-US"/>
              </w:rPr>
              <w:t>Prototype:</w:t>
            </w:r>
            <w:r w:rsidRPr="00FE5D11">
              <w:rPr>
                <w:sz w:val="20"/>
                <w:szCs w:val="20"/>
                <w:lang w:val="en-US"/>
              </w:rPr>
              <w:t xml:space="preserve"> atropine</w:t>
            </w:r>
          </w:p>
          <w:p w14:paraId="03F005A0" w14:textId="77777777" w:rsidR="00FE5D11" w:rsidRPr="00FE5D11" w:rsidRDefault="00FE5D11" w:rsidP="00E76986">
            <w:pPr>
              <w:rPr>
                <w:sz w:val="20"/>
                <w:szCs w:val="20"/>
                <w:lang w:val="en-US"/>
              </w:rPr>
            </w:pPr>
          </w:p>
        </w:tc>
        <w:tc>
          <w:tcPr>
            <w:tcW w:w="4676" w:type="dxa"/>
            <w:gridSpan w:val="2"/>
          </w:tcPr>
          <w:p w14:paraId="2A147C34" w14:textId="77777777" w:rsidR="00FE5D11" w:rsidRPr="00FE5D11" w:rsidRDefault="00FE5D11" w:rsidP="00E76986">
            <w:pPr>
              <w:rPr>
                <w:sz w:val="20"/>
                <w:szCs w:val="20"/>
                <w:lang w:val="en-US"/>
              </w:rPr>
            </w:pPr>
            <w:r w:rsidRPr="00FE5D11">
              <w:rPr>
                <w:sz w:val="20"/>
                <w:szCs w:val="20"/>
                <w:lang w:val="en-US"/>
              </w:rPr>
              <w:t>I</w:t>
            </w:r>
            <w:r w:rsidRPr="00FE5D11">
              <w:rPr>
                <w:b/>
                <w:bCs/>
                <w:sz w:val="20"/>
                <w:szCs w:val="20"/>
                <w:lang w:val="en-US"/>
              </w:rPr>
              <w:t>ndications</w:t>
            </w:r>
            <w:r w:rsidRPr="00FE5D11">
              <w:rPr>
                <w:sz w:val="20"/>
                <w:szCs w:val="20"/>
                <w:lang w:val="en-US"/>
              </w:rPr>
              <w:t>:  Dose dependent – symptomatic bradycardia to increase heart rate, inhibits saliva and secretions.  Larger doses for decreasing GI motility</w:t>
            </w:r>
          </w:p>
          <w:p w14:paraId="6EEDAFC1" w14:textId="77777777" w:rsidR="00FE5D11" w:rsidRPr="00FE5D11" w:rsidRDefault="00FE5D11" w:rsidP="00E76986">
            <w:pPr>
              <w:rPr>
                <w:sz w:val="20"/>
                <w:szCs w:val="20"/>
                <w:lang w:val="en-US"/>
              </w:rPr>
            </w:pPr>
          </w:p>
        </w:tc>
      </w:tr>
      <w:tr w:rsidR="00FE5D11" w:rsidRPr="00FE5D11" w14:paraId="67784E75" w14:textId="77777777" w:rsidTr="00E76986">
        <w:tc>
          <w:tcPr>
            <w:tcW w:w="9350" w:type="dxa"/>
            <w:gridSpan w:val="4"/>
          </w:tcPr>
          <w:p w14:paraId="52DFFE32" w14:textId="77777777" w:rsidR="00FE5D11" w:rsidRPr="00FE5D11" w:rsidRDefault="00FE5D11" w:rsidP="00E76986">
            <w:pPr>
              <w:rPr>
                <w:sz w:val="20"/>
                <w:szCs w:val="20"/>
                <w:lang w:val="en-US"/>
              </w:rPr>
            </w:pPr>
            <w:r w:rsidRPr="00FE5D11">
              <w:rPr>
                <w:b/>
                <w:bCs/>
                <w:sz w:val="20"/>
                <w:szCs w:val="20"/>
                <w:lang w:val="en-US"/>
              </w:rPr>
              <w:t>Mechanism of Action:</w:t>
            </w:r>
            <w:r w:rsidRPr="00FE5D11">
              <w:rPr>
                <w:sz w:val="20"/>
                <w:szCs w:val="20"/>
                <w:lang w:val="en-US"/>
              </w:rPr>
              <w:t xml:space="preserve"> an anticholinergic drug that inhibits parasympathetic impulses, thereby inducing sympathetic stimulation. It inhibits acetylcholine at the postganglionic sites located in smooth muscle, secretory glands and the CNS. It has direct vagolytic action, resulting in increased heart rate, relaxation of the bronchi, drying of secretions and dilated pupils.  Small doses inhibit salivation. Moderate doses cause vagolytic action, resulting in dilating the pupils, inhibit accommodation, increases HR. Large doses decrease GI motility and inhibit gastric acid secretions.  </w:t>
            </w:r>
          </w:p>
          <w:p w14:paraId="7627947C" w14:textId="77777777" w:rsidR="00FE5D11" w:rsidRPr="00FE5D11" w:rsidRDefault="00FE5D11" w:rsidP="00E76986">
            <w:pPr>
              <w:rPr>
                <w:sz w:val="20"/>
                <w:szCs w:val="20"/>
                <w:lang w:val="en-US"/>
              </w:rPr>
            </w:pPr>
          </w:p>
        </w:tc>
      </w:tr>
      <w:tr w:rsidR="00FE5D11" w:rsidRPr="00FE5D11" w14:paraId="0455CED8" w14:textId="77777777" w:rsidTr="00E76986">
        <w:trPr>
          <w:trHeight w:val="2338"/>
        </w:trPr>
        <w:tc>
          <w:tcPr>
            <w:tcW w:w="2337" w:type="dxa"/>
          </w:tcPr>
          <w:p w14:paraId="0D66D0A0" w14:textId="77777777" w:rsidR="00FE5D11" w:rsidRPr="00FE5D11" w:rsidRDefault="00FE5D11" w:rsidP="00E76986">
            <w:pPr>
              <w:rPr>
                <w:b/>
                <w:bCs/>
                <w:sz w:val="20"/>
                <w:szCs w:val="20"/>
                <w:lang w:val="en-US"/>
              </w:rPr>
            </w:pPr>
            <w:r w:rsidRPr="00FE5D11">
              <w:rPr>
                <w:b/>
                <w:bCs/>
                <w:sz w:val="20"/>
                <w:szCs w:val="20"/>
                <w:lang w:val="en-US"/>
              </w:rPr>
              <w:t xml:space="preserve">Administration: </w:t>
            </w:r>
          </w:p>
          <w:p w14:paraId="3C5E2FBD" w14:textId="77777777" w:rsidR="00FE5D11" w:rsidRPr="00FE5D11" w:rsidRDefault="00FE5D11" w:rsidP="00E76986">
            <w:pPr>
              <w:rPr>
                <w:sz w:val="20"/>
                <w:szCs w:val="20"/>
                <w:lang w:val="en-US"/>
              </w:rPr>
            </w:pPr>
            <w:r w:rsidRPr="00FE5D11">
              <w:rPr>
                <w:sz w:val="20"/>
                <w:szCs w:val="20"/>
                <w:lang w:val="en-US"/>
              </w:rPr>
              <w:t>IM, SQ, ET and IV</w:t>
            </w:r>
          </w:p>
          <w:p w14:paraId="045A468C" w14:textId="77777777" w:rsidR="00FE5D11" w:rsidRPr="00FE5D11" w:rsidRDefault="00FE5D11" w:rsidP="00E76986">
            <w:pPr>
              <w:rPr>
                <w:sz w:val="20"/>
                <w:szCs w:val="20"/>
                <w:lang w:val="en-US"/>
              </w:rPr>
            </w:pPr>
          </w:p>
          <w:p w14:paraId="16511705" w14:textId="77777777" w:rsidR="00FE5D11" w:rsidRPr="00FE5D11" w:rsidRDefault="00FE5D11" w:rsidP="00E76986">
            <w:pPr>
              <w:rPr>
                <w:sz w:val="20"/>
                <w:szCs w:val="20"/>
                <w:lang w:val="en-US"/>
              </w:rPr>
            </w:pPr>
            <w:r w:rsidRPr="00FE5D11">
              <w:rPr>
                <w:sz w:val="20"/>
                <w:szCs w:val="20"/>
                <w:lang w:val="en-US"/>
              </w:rPr>
              <w:t>Use with caution in older adults</w:t>
            </w:r>
          </w:p>
          <w:p w14:paraId="3FECCA19" w14:textId="77777777" w:rsidR="00FE5D11" w:rsidRPr="00FE5D11" w:rsidRDefault="00FE5D11" w:rsidP="00E76986">
            <w:pPr>
              <w:rPr>
                <w:sz w:val="20"/>
                <w:szCs w:val="20"/>
                <w:lang w:val="en-US"/>
              </w:rPr>
            </w:pPr>
          </w:p>
        </w:tc>
        <w:tc>
          <w:tcPr>
            <w:tcW w:w="2337" w:type="dxa"/>
          </w:tcPr>
          <w:p w14:paraId="7A11EC28" w14:textId="77777777" w:rsidR="00FE5D11" w:rsidRPr="00FE5D11" w:rsidRDefault="00FE5D11" w:rsidP="00E76986">
            <w:pPr>
              <w:rPr>
                <w:b/>
                <w:bCs/>
                <w:sz w:val="20"/>
                <w:szCs w:val="20"/>
                <w:lang w:val="en-US"/>
              </w:rPr>
            </w:pPr>
            <w:r w:rsidRPr="00FE5D11">
              <w:rPr>
                <w:b/>
                <w:bCs/>
                <w:sz w:val="20"/>
                <w:szCs w:val="20"/>
                <w:lang w:val="en-US"/>
              </w:rPr>
              <w:t>Side Effects:</w:t>
            </w:r>
          </w:p>
          <w:p w14:paraId="1C9DBAE3" w14:textId="77777777" w:rsidR="00FE5D11" w:rsidRPr="00FE5D11" w:rsidRDefault="00FE5D11" w:rsidP="00E76986">
            <w:pPr>
              <w:rPr>
                <w:sz w:val="20"/>
                <w:szCs w:val="20"/>
                <w:lang w:val="en-US"/>
              </w:rPr>
            </w:pPr>
            <w:r w:rsidRPr="00FE5D11">
              <w:rPr>
                <w:sz w:val="20"/>
                <w:szCs w:val="20"/>
                <w:lang w:val="en-US"/>
              </w:rPr>
              <w:t>xerostomia, blurred vision, flushing, hot skin, constipation, urinary retention,</w:t>
            </w:r>
          </w:p>
          <w:p w14:paraId="6A174FC8" w14:textId="77777777" w:rsidR="00FE5D11" w:rsidRPr="00FE5D11" w:rsidRDefault="00FE5D11" w:rsidP="00E76986">
            <w:pPr>
              <w:rPr>
                <w:sz w:val="20"/>
                <w:szCs w:val="20"/>
                <w:lang w:val="en-US"/>
              </w:rPr>
            </w:pPr>
            <w:r w:rsidRPr="00FE5D11">
              <w:rPr>
                <w:sz w:val="20"/>
                <w:szCs w:val="20"/>
                <w:lang w:val="en-US"/>
              </w:rPr>
              <w:t>CV: tachycardia (most common)</w:t>
            </w:r>
          </w:p>
          <w:p w14:paraId="1B5CAA23" w14:textId="77777777" w:rsidR="00FE5D11" w:rsidRPr="00FE5D11" w:rsidRDefault="00FE5D11" w:rsidP="00E76986">
            <w:pPr>
              <w:rPr>
                <w:sz w:val="20"/>
                <w:szCs w:val="20"/>
                <w:lang w:val="en-US"/>
              </w:rPr>
            </w:pPr>
          </w:p>
          <w:p w14:paraId="4CF7CB91" w14:textId="77777777" w:rsidR="00FE5D11" w:rsidRPr="00FE5D11" w:rsidRDefault="00FE5D11" w:rsidP="00E76986">
            <w:pPr>
              <w:rPr>
                <w:sz w:val="20"/>
                <w:szCs w:val="20"/>
                <w:lang w:val="en-US"/>
              </w:rPr>
            </w:pPr>
            <w:r w:rsidRPr="00FE5D11">
              <w:rPr>
                <w:sz w:val="20"/>
                <w:szCs w:val="20"/>
                <w:lang w:val="en-US"/>
              </w:rPr>
              <w:t xml:space="preserve">Adverse effects: </w:t>
            </w:r>
          </w:p>
          <w:p w14:paraId="5949651F" w14:textId="77777777" w:rsidR="00FE5D11" w:rsidRPr="00FE5D11" w:rsidRDefault="00FE5D11" w:rsidP="00E76986">
            <w:pPr>
              <w:rPr>
                <w:sz w:val="20"/>
                <w:szCs w:val="20"/>
                <w:lang w:val="en-US"/>
              </w:rPr>
            </w:pPr>
            <w:r w:rsidRPr="00FE5D11">
              <w:rPr>
                <w:sz w:val="20"/>
                <w:szCs w:val="20"/>
                <w:lang w:val="en-US"/>
              </w:rPr>
              <w:t>CNS: anxiety, dizziness, vertigo, delirium</w:t>
            </w:r>
          </w:p>
          <w:p w14:paraId="6FB9423B" w14:textId="77777777" w:rsidR="00FE5D11" w:rsidRPr="00FE5D11" w:rsidRDefault="00FE5D11" w:rsidP="00E76986">
            <w:pPr>
              <w:rPr>
                <w:b/>
                <w:bCs/>
                <w:sz w:val="20"/>
                <w:szCs w:val="20"/>
                <w:lang w:val="en-US"/>
              </w:rPr>
            </w:pPr>
            <w:r w:rsidRPr="00FE5D11">
              <w:rPr>
                <w:sz w:val="20"/>
                <w:szCs w:val="20"/>
                <w:lang w:val="en-US"/>
              </w:rPr>
              <w:t>CV: Short term paradoxical</w:t>
            </w:r>
            <w:r w:rsidRPr="00FE5D11">
              <w:rPr>
                <w:b/>
                <w:bCs/>
                <w:sz w:val="20"/>
                <w:szCs w:val="20"/>
                <w:lang w:val="en-US"/>
              </w:rPr>
              <w:t xml:space="preserve"> </w:t>
            </w:r>
            <w:r w:rsidRPr="00FE5D11">
              <w:rPr>
                <w:sz w:val="20"/>
                <w:szCs w:val="20"/>
                <w:lang w:val="en-US"/>
              </w:rPr>
              <w:t>bradycardia.</w:t>
            </w:r>
          </w:p>
        </w:tc>
        <w:tc>
          <w:tcPr>
            <w:tcW w:w="2338" w:type="dxa"/>
          </w:tcPr>
          <w:p w14:paraId="312EC7D2" w14:textId="77777777" w:rsidR="00FE5D11" w:rsidRPr="00FE5D11" w:rsidRDefault="00FE5D11" w:rsidP="00E76986">
            <w:pPr>
              <w:rPr>
                <w:b/>
                <w:bCs/>
                <w:sz w:val="20"/>
                <w:szCs w:val="20"/>
                <w:lang w:val="en-US"/>
              </w:rPr>
            </w:pPr>
            <w:r w:rsidRPr="00FE5D11">
              <w:rPr>
                <w:b/>
                <w:bCs/>
                <w:sz w:val="20"/>
                <w:szCs w:val="20"/>
                <w:lang w:val="en-US"/>
              </w:rPr>
              <w:t xml:space="preserve">Contraindications: </w:t>
            </w:r>
          </w:p>
          <w:p w14:paraId="6AB49CD3" w14:textId="77777777" w:rsidR="00FE5D11" w:rsidRPr="00FE5D11" w:rsidRDefault="00FE5D11" w:rsidP="00E76986">
            <w:pPr>
              <w:rPr>
                <w:sz w:val="20"/>
                <w:szCs w:val="20"/>
                <w:lang w:val="en-US"/>
              </w:rPr>
            </w:pPr>
            <w:r w:rsidRPr="00FE5D11">
              <w:rPr>
                <w:sz w:val="20"/>
                <w:szCs w:val="20"/>
                <w:lang w:val="en-US"/>
              </w:rPr>
              <w:t>Caution with elderly, may react as agitation or drowsiness.</w:t>
            </w:r>
          </w:p>
          <w:p w14:paraId="2DF14D2E" w14:textId="77777777" w:rsidR="00FE5D11" w:rsidRPr="00FE5D11" w:rsidRDefault="00FE5D11" w:rsidP="00E76986">
            <w:pPr>
              <w:rPr>
                <w:sz w:val="20"/>
                <w:szCs w:val="20"/>
                <w:lang w:val="en-US"/>
              </w:rPr>
            </w:pPr>
            <w:r w:rsidRPr="00FE5D11">
              <w:rPr>
                <w:sz w:val="20"/>
                <w:szCs w:val="20"/>
                <w:lang w:val="en-US"/>
              </w:rPr>
              <w:t>Caution in males with benign prostrate hypertrophy</w:t>
            </w:r>
          </w:p>
          <w:p w14:paraId="1D2AA139" w14:textId="77777777" w:rsidR="00FE5D11" w:rsidRPr="00FE5D11" w:rsidRDefault="00FE5D11" w:rsidP="00E76986">
            <w:pPr>
              <w:rPr>
                <w:b/>
                <w:bCs/>
                <w:sz w:val="20"/>
                <w:szCs w:val="20"/>
                <w:lang w:val="en-US"/>
              </w:rPr>
            </w:pPr>
            <w:r w:rsidRPr="00FE5D11">
              <w:rPr>
                <w:sz w:val="20"/>
                <w:szCs w:val="20"/>
                <w:lang w:val="en-US"/>
              </w:rPr>
              <w:t>May cause urinary retention.</w:t>
            </w:r>
            <w:r w:rsidRPr="00FE5D11">
              <w:rPr>
                <w:b/>
                <w:bCs/>
                <w:sz w:val="20"/>
                <w:szCs w:val="20"/>
                <w:lang w:val="en-US"/>
              </w:rPr>
              <w:t xml:space="preserve"> </w:t>
            </w:r>
          </w:p>
          <w:p w14:paraId="0777D470" w14:textId="77777777" w:rsidR="00FE5D11" w:rsidRPr="00FE5D11" w:rsidRDefault="00FE5D11" w:rsidP="00E76986">
            <w:pPr>
              <w:rPr>
                <w:b/>
                <w:bCs/>
                <w:sz w:val="20"/>
                <w:szCs w:val="20"/>
                <w:lang w:val="en-US"/>
              </w:rPr>
            </w:pPr>
          </w:p>
          <w:p w14:paraId="1B1D802A" w14:textId="77777777" w:rsidR="00FE5D11" w:rsidRPr="00FE5D11" w:rsidRDefault="00FE5D11" w:rsidP="00E76986">
            <w:pPr>
              <w:rPr>
                <w:sz w:val="20"/>
                <w:szCs w:val="20"/>
                <w:lang w:val="en-US"/>
              </w:rPr>
            </w:pPr>
            <w:r w:rsidRPr="00FE5D11">
              <w:rPr>
                <w:sz w:val="20"/>
                <w:szCs w:val="20"/>
                <w:lang w:val="en-US"/>
              </w:rPr>
              <w:t>Contraindicated with glaucoma</w:t>
            </w:r>
          </w:p>
        </w:tc>
        <w:tc>
          <w:tcPr>
            <w:tcW w:w="2338" w:type="dxa"/>
          </w:tcPr>
          <w:p w14:paraId="55CA9CEE" w14:textId="77777777" w:rsidR="00FE5D11" w:rsidRPr="00FE5D11" w:rsidRDefault="00FE5D11" w:rsidP="00E76986">
            <w:pPr>
              <w:rPr>
                <w:b/>
                <w:bCs/>
                <w:sz w:val="20"/>
                <w:szCs w:val="20"/>
                <w:lang w:val="en-US"/>
              </w:rPr>
            </w:pPr>
            <w:r w:rsidRPr="00FE5D11">
              <w:rPr>
                <w:b/>
                <w:bCs/>
                <w:sz w:val="20"/>
                <w:szCs w:val="20"/>
                <w:lang w:val="en-US"/>
              </w:rPr>
              <w:t xml:space="preserve">Nursing Considerations: </w:t>
            </w:r>
          </w:p>
          <w:p w14:paraId="58F32FD9" w14:textId="77777777" w:rsidR="00FE5D11" w:rsidRPr="00FE5D11" w:rsidRDefault="00FE5D11" w:rsidP="00E76986">
            <w:pPr>
              <w:rPr>
                <w:sz w:val="20"/>
                <w:szCs w:val="20"/>
                <w:lang w:val="en-US"/>
              </w:rPr>
            </w:pPr>
            <w:r w:rsidRPr="00FE5D11">
              <w:rPr>
                <w:sz w:val="20"/>
                <w:szCs w:val="20"/>
                <w:lang w:val="en-US"/>
              </w:rPr>
              <w:t>Monitor for overdose: urine retention, abnormal heartbeat, dizziness, passing out, difficulty breathing, weakness, or tremors.   Antidote: Physostigmine</w:t>
            </w:r>
          </w:p>
          <w:p w14:paraId="047F8C6D" w14:textId="77777777" w:rsidR="00FE5D11" w:rsidRPr="00FE5D11" w:rsidRDefault="00FE5D11" w:rsidP="00E76986">
            <w:pPr>
              <w:rPr>
                <w:b/>
                <w:bCs/>
                <w:sz w:val="20"/>
                <w:szCs w:val="20"/>
                <w:lang w:val="en-US"/>
              </w:rPr>
            </w:pPr>
          </w:p>
          <w:p w14:paraId="2C3AD6FD" w14:textId="77777777" w:rsidR="00FE5D11" w:rsidRPr="00FE5D11" w:rsidRDefault="00FE5D11" w:rsidP="00E76986">
            <w:pPr>
              <w:rPr>
                <w:sz w:val="20"/>
                <w:szCs w:val="20"/>
                <w:lang w:val="en-US"/>
              </w:rPr>
            </w:pPr>
            <w:r w:rsidRPr="00FE5D11">
              <w:rPr>
                <w:sz w:val="20"/>
                <w:szCs w:val="20"/>
                <w:lang w:val="en-US"/>
              </w:rPr>
              <w:t>Heat stroke may occur if high temperature</w:t>
            </w:r>
          </w:p>
          <w:p w14:paraId="685673E3" w14:textId="77777777" w:rsidR="00FE5D11" w:rsidRPr="00FE5D11" w:rsidRDefault="00FE5D11" w:rsidP="00E76986">
            <w:pPr>
              <w:rPr>
                <w:sz w:val="20"/>
                <w:szCs w:val="20"/>
                <w:lang w:val="en-US"/>
              </w:rPr>
            </w:pPr>
          </w:p>
          <w:p w14:paraId="57A8AC59" w14:textId="77777777" w:rsidR="00FE5D11" w:rsidRPr="00FE5D11" w:rsidRDefault="00FE5D11" w:rsidP="00E76986">
            <w:pPr>
              <w:rPr>
                <w:sz w:val="20"/>
                <w:szCs w:val="20"/>
                <w:lang w:val="en-US"/>
              </w:rPr>
            </w:pPr>
            <w:r w:rsidRPr="00FE5D11">
              <w:rPr>
                <w:sz w:val="20"/>
                <w:szCs w:val="20"/>
                <w:lang w:val="en-US"/>
              </w:rPr>
              <w:t xml:space="preserve">Advise client risk of dizziness and drowsiness. </w:t>
            </w:r>
          </w:p>
          <w:p w14:paraId="7CE8A6D9" w14:textId="77777777" w:rsidR="00FE5D11" w:rsidRPr="00FE5D11" w:rsidRDefault="00FE5D11" w:rsidP="00E76986">
            <w:pPr>
              <w:rPr>
                <w:b/>
                <w:bCs/>
                <w:sz w:val="20"/>
                <w:szCs w:val="20"/>
                <w:lang w:val="en-US"/>
              </w:rPr>
            </w:pPr>
            <w:r w:rsidRPr="00FE5D11">
              <w:rPr>
                <w:sz w:val="20"/>
                <w:szCs w:val="20"/>
                <w:lang w:val="en-US"/>
              </w:rPr>
              <w:t>Oral hygiene due to dry mouth.</w:t>
            </w:r>
          </w:p>
        </w:tc>
      </w:tr>
    </w:tbl>
    <w:p w14:paraId="78DEB307" w14:textId="77777777" w:rsidR="00FE5D11" w:rsidRDefault="00FE5D11"/>
    <w:p w14:paraId="29663AAB" w14:textId="77777777" w:rsidR="00FE5D11" w:rsidRDefault="00FE5D11"/>
    <w:sectPr w:rsidR="00FE5D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11"/>
    <w:rsid w:val="00261E4D"/>
    <w:rsid w:val="00464599"/>
    <w:rsid w:val="006D2C2C"/>
    <w:rsid w:val="00734E8C"/>
    <w:rsid w:val="0096662A"/>
    <w:rsid w:val="009F730C"/>
    <w:rsid w:val="00F25F3E"/>
    <w:rsid w:val="00F82D34"/>
    <w:rsid w:val="00FE5D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0A8B"/>
  <w15:chartTrackingRefBased/>
  <w15:docId w15:val="{36B8BCC5-1BCA-134F-8497-E318A186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D11"/>
    <w:rPr>
      <w:rFonts w:eastAsiaTheme="majorEastAsia" w:cstheme="majorBidi"/>
      <w:color w:val="272727" w:themeColor="text1" w:themeTint="D8"/>
    </w:rPr>
  </w:style>
  <w:style w:type="paragraph" w:styleId="Title">
    <w:name w:val="Title"/>
    <w:basedOn w:val="Normal"/>
    <w:next w:val="Normal"/>
    <w:link w:val="TitleChar"/>
    <w:uiPriority w:val="10"/>
    <w:qFormat/>
    <w:rsid w:val="00FE5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D11"/>
    <w:pPr>
      <w:spacing w:before="160"/>
      <w:jc w:val="center"/>
    </w:pPr>
    <w:rPr>
      <w:i/>
      <w:iCs/>
      <w:color w:val="404040" w:themeColor="text1" w:themeTint="BF"/>
    </w:rPr>
  </w:style>
  <w:style w:type="character" w:customStyle="1" w:styleId="QuoteChar">
    <w:name w:val="Quote Char"/>
    <w:basedOn w:val="DefaultParagraphFont"/>
    <w:link w:val="Quote"/>
    <w:uiPriority w:val="29"/>
    <w:rsid w:val="00FE5D11"/>
    <w:rPr>
      <w:i/>
      <w:iCs/>
      <w:color w:val="404040" w:themeColor="text1" w:themeTint="BF"/>
    </w:rPr>
  </w:style>
  <w:style w:type="paragraph" w:styleId="ListParagraph">
    <w:name w:val="List Paragraph"/>
    <w:basedOn w:val="Normal"/>
    <w:uiPriority w:val="34"/>
    <w:qFormat/>
    <w:rsid w:val="00FE5D11"/>
    <w:pPr>
      <w:ind w:left="720"/>
      <w:contextualSpacing/>
    </w:pPr>
  </w:style>
  <w:style w:type="character" w:styleId="IntenseEmphasis">
    <w:name w:val="Intense Emphasis"/>
    <w:basedOn w:val="DefaultParagraphFont"/>
    <w:uiPriority w:val="21"/>
    <w:qFormat/>
    <w:rsid w:val="00FE5D11"/>
    <w:rPr>
      <w:i/>
      <w:iCs/>
      <w:color w:val="0F4761" w:themeColor="accent1" w:themeShade="BF"/>
    </w:rPr>
  </w:style>
  <w:style w:type="paragraph" w:styleId="IntenseQuote">
    <w:name w:val="Intense Quote"/>
    <w:basedOn w:val="Normal"/>
    <w:next w:val="Normal"/>
    <w:link w:val="IntenseQuoteChar"/>
    <w:uiPriority w:val="30"/>
    <w:qFormat/>
    <w:rsid w:val="00FE5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D11"/>
    <w:rPr>
      <w:i/>
      <w:iCs/>
      <w:color w:val="0F4761" w:themeColor="accent1" w:themeShade="BF"/>
    </w:rPr>
  </w:style>
  <w:style w:type="character" w:styleId="IntenseReference">
    <w:name w:val="Intense Reference"/>
    <w:basedOn w:val="DefaultParagraphFont"/>
    <w:uiPriority w:val="32"/>
    <w:qFormat/>
    <w:rsid w:val="00FE5D11"/>
    <w:rPr>
      <w:b/>
      <w:bCs/>
      <w:smallCaps/>
      <w:color w:val="0F4761" w:themeColor="accent1" w:themeShade="BF"/>
      <w:spacing w:val="5"/>
    </w:rPr>
  </w:style>
  <w:style w:type="table" w:styleId="TableGrid">
    <w:name w:val="Table Grid"/>
    <w:basedOn w:val="TableNormal"/>
    <w:uiPriority w:val="39"/>
    <w:rsid w:val="00FE5D1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1401</Characters>
  <Application>Microsoft Office Word</Application>
  <DocSecurity>0</DocSecurity>
  <Lines>73</Lines>
  <Paragraphs>28</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Obando Almache</dc:creator>
  <cp:keywords/>
  <dc:description/>
  <cp:lastModifiedBy>Jessica Obando Almache</cp:lastModifiedBy>
  <cp:revision>1</cp:revision>
  <dcterms:created xsi:type="dcterms:W3CDTF">2026-01-14T18:16:00Z</dcterms:created>
  <dcterms:modified xsi:type="dcterms:W3CDTF">2026-01-14T18:17:00Z</dcterms:modified>
</cp:coreProperties>
</file>