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9BEE" w14:textId="0BEF718A" w:rsidR="00734E8C" w:rsidRPr="0013603A" w:rsidRDefault="0013603A" w:rsidP="0013603A">
      <w:pPr>
        <w:spacing w:after="0"/>
        <w:rPr>
          <w:rFonts w:ascii="Aptos" w:hAnsi="Aptos"/>
          <w:b/>
          <w:bCs/>
          <w:sz w:val="20"/>
          <w:szCs w:val="20"/>
          <w:lang w:val="en-US"/>
        </w:rPr>
      </w:pPr>
      <w:r w:rsidRPr="0013603A">
        <w:rPr>
          <w:rFonts w:ascii="Aptos" w:hAnsi="Aptos"/>
          <w:b/>
          <w:bCs/>
          <w:sz w:val="20"/>
          <w:szCs w:val="20"/>
          <w:lang w:val="en-US"/>
        </w:rPr>
        <w:t>Amiodarone Medication Card</w:t>
      </w:r>
    </w:p>
    <w:tbl>
      <w:tblPr>
        <w:tblStyle w:val="TableGrid"/>
        <w:tblW w:w="0" w:type="auto"/>
        <w:tblLook w:val="04A0" w:firstRow="1" w:lastRow="0" w:firstColumn="1" w:lastColumn="0" w:noHBand="0" w:noVBand="1"/>
      </w:tblPr>
      <w:tblGrid>
        <w:gridCol w:w="2337"/>
        <w:gridCol w:w="2337"/>
        <w:gridCol w:w="2338"/>
        <w:gridCol w:w="2338"/>
      </w:tblGrid>
      <w:tr w:rsidR="0013603A" w:rsidRPr="0013603A" w14:paraId="0C6CEF0B" w14:textId="77777777" w:rsidTr="00F24F94">
        <w:trPr>
          <w:trHeight w:val="1103"/>
        </w:trPr>
        <w:tc>
          <w:tcPr>
            <w:tcW w:w="4674" w:type="dxa"/>
            <w:gridSpan w:val="2"/>
          </w:tcPr>
          <w:p w14:paraId="3564A239" w14:textId="77777777" w:rsidR="0013603A" w:rsidRPr="0013603A" w:rsidRDefault="0013603A" w:rsidP="00F24F94">
            <w:pPr>
              <w:rPr>
                <w:rFonts w:ascii="Aptos" w:hAnsi="Aptos"/>
                <w:sz w:val="20"/>
                <w:szCs w:val="20"/>
                <w:lang w:val="en-US"/>
              </w:rPr>
            </w:pPr>
            <w:r w:rsidRPr="0013603A">
              <w:rPr>
                <w:rFonts w:ascii="Aptos" w:hAnsi="Aptos"/>
                <w:b/>
                <w:bCs/>
                <w:sz w:val="20"/>
                <w:szCs w:val="20"/>
                <w:lang w:val="en-US"/>
              </w:rPr>
              <w:t>Class:</w:t>
            </w:r>
            <w:r w:rsidRPr="0013603A">
              <w:rPr>
                <w:rFonts w:ascii="Aptos" w:hAnsi="Aptos"/>
                <w:sz w:val="20"/>
                <w:szCs w:val="20"/>
              </w:rPr>
              <w:t xml:space="preserve"> </w:t>
            </w:r>
            <w:r w:rsidRPr="0013603A">
              <w:rPr>
                <w:rFonts w:ascii="Aptos" w:hAnsi="Aptos"/>
                <w:sz w:val="20"/>
                <w:szCs w:val="20"/>
                <w:lang w:val="en-US"/>
              </w:rPr>
              <w:t>Antiarrhythmic, Class III: Potassium channel blockers</w:t>
            </w:r>
          </w:p>
          <w:p w14:paraId="70B043F0" w14:textId="77777777" w:rsidR="0013603A" w:rsidRPr="0013603A" w:rsidRDefault="0013603A" w:rsidP="00F24F94">
            <w:pPr>
              <w:rPr>
                <w:rFonts w:ascii="Aptos" w:hAnsi="Aptos"/>
                <w:sz w:val="20"/>
                <w:szCs w:val="20"/>
                <w:lang w:val="en-US"/>
              </w:rPr>
            </w:pPr>
          </w:p>
          <w:p w14:paraId="352B4939" w14:textId="77777777" w:rsidR="0013603A" w:rsidRPr="0013603A" w:rsidRDefault="0013603A" w:rsidP="00F24F94">
            <w:pPr>
              <w:rPr>
                <w:rFonts w:ascii="Aptos" w:hAnsi="Aptos"/>
                <w:sz w:val="20"/>
                <w:szCs w:val="20"/>
                <w:lang w:val="en-US"/>
              </w:rPr>
            </w:pPr>
            <w:r w:rsidRPr="0013603A">
              <w:rPr>
                <w:rFonts w:ascii="Aptos" w:hAnsi="Aptos"/>
                <w:b/>
                <w:bCs/>
                <w:sz w:val="20"/>
                <w:szCs w:val="20"/>
                <w:lang w:val="en-US"/>
              </w:rPr>
              <w:t>Prototype:</w:t>
            </w:r>
            <w:r w:rsidRPr="0013603A">
              <w:rPr>
                <w:rFonts w:ascii="Aptos" w:hAnsi="Aptos"/>
                <w:sz w:val="20"/>
                <w:szCs w:val="20"/>
                <w:lang w:val="en-US"/>
              </w:rPr>
              <w:t xml:space="preserve">  Amiodarone </w:t>
            </w:r>
          </w:p>
          <w:p w14:paraId="58A4CCEC" w14:textId="77777777" w:rsidR="0013603A" w:rsidRPr="0013603A" w:rsidRDefault="0013603A" w:rsidP="00F24F94">
            <w:pPr>
              <w:rPr>
                <w:rFonts w:ascii="Aptos" w:hAnsi="Aptos"/>
                <w:sz w:val="20"/>
                <w:szCs w:val="20"/>
                <w:lang w:val="en-US"/>
              </w:rPr>
            </w:pPr>
          </w:p>
          <w:p w14:paraId="455662EF" w14:textId="77777777" w:rsidR="0013603A" w:rsidRPr="0013603A" w:rsidRDefault="0013603A" w:rsidP="00F24F94">
            <w:pPr>
              <w:rPr>
                <w:rFonts w:ascii="Aptos" w:hAnsi="Aptos"/>
                <w:sz w:val="20"/>
                <w:szCs w:val="20"/>
                <w:lang w:val="en-US"/>
              </w:rPr>
            </w:pPr>
          </w:p>
        </w:tc>
        <w:tc>
          <w:tcPr>
            <w:tcW w:w="4676" w:type="dxa"/>
            <w:gridSpan w:val="2"/>
          </w:tcPr>
          <w:p w14:paraId="1E1E4591" w14:textId="77777777" w:rsidR="0013603A" w:rsidRPr="0013603A" w:rsidRDefault="0013603A" w:rsidP="00F24F94">
            <w:pPr>
              <w:rPr>
                <w:rFonts w:ascii="Aptos" w:hAnsi="Aptos"/>
                <w:b/>
                <w:bCs/>
                <w:sz w:val="20"/>
                <w:szCs w:val="20"/>
                <w:lang w:val="en-US"/>
              </w:rPr>
            </w:pPr>
            <w:r w:rsidRPr="0013603A">
              <w:rPr>
                <w:rFonts w:ascii="Aptos" w:hAnsi="Aptos"/>
                <w:b/>
                <w:bCs/>
                <w:sz w:val="20"/>
                <w:szCs w:val="20"/>
                <w:lang w:val="en-US"/>
              </w:rPr>
              <w:t>Indications:</w:t>
            </w:r>
            <w:r w:rsidRPr="0013603A">
              <w:rPr>
                <w:rFonts w:ascii="Aptos" w:hAnsi="Aptos"/>
                <w:b/>
                <w:bCs/>
                <w:sz w:val="20"/>
                <w:szCs w:val="20"/>
              </w:rPr>
              <w:t xml:space="preserve"> </w:t>
            </w:r>
          </w:p>
          <w:p w14:paraId="68336E07"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tachydysrhythmias that have not responded well to other antiarrhythmics. Used for: ventricular tachycardia, including ventricular fibrillation; atrial fibrillation &amp; flutter. Restores sinus rhythm.</w:t>
            </w:r>
          </w:p>
          <w:p w14:paraId="0A5F7DE2" w14:textId="77777777" w:rsidR="0013603A" w:rsidRPr="0013603A" w:rsidRDefault="0013603A" w:rsidP="00F24F94">
            <w:pPr>
              <w:rPr>
                <w:rFonts w:ascii="Aptos" w:hAnsi="Aptos"/>
                <w:sz w:val="20"/>
                <w:szCs w:val="20"/>
                <w:lang w:val="en-US"/>
              </w:rPr>
            </w:pPr>
          </w:p>
        </w:tc>
      </w:tr>
      <w:tr w:rsidR="0013603A" w:rsidRPr="0013603A" w14:paraId="34258144" w14:textId="77777777" w:rsidTr="00F24F94">
        <w:tc>
          <w:tcPr>
            <w:tcW w:w="9350" w:type="dxa"/>
            <w:gridSpan w:val="4"/>
          </w:tcPr>
          <w:p w14:paraId="4A1B255A" w14:textId="77777777" w:rsidR="0013603A" w:rsidRPr="0013603A" w:rsidRDefault="0013603A" w:rsidP="00F24F94">
            <w:pPr>
              <w:rPr>
                <w:rFonts w:ascii="Aptos" w:hAnsi="Aptos"/>
                <w:sz w:val="20"/>
                <w:szCs w:val="20"/>
                <w:lang w:val="en-US"/>
              </w:rPr>
            </w:pPr>
            <w:r w:rsidRPr="0013603A">
              <w:rPr>
                <w:rFonts w:ascii="Aptos" w:hAnsi="Aptos"/>
                <w:b/>
                <w:bCs/>
                <w:sz w:val="20"/>
                <w:szCs w:val="20"/>
                <w:lang w:val="en-US"/>
              </w:rPr>
              <w:t>Mechanism of Action:</w:t>
            </w:r>
            <w:r w:rsidRPr="0013603A">
              <w:rPr>
                <w:rFonts w:ascii="Aptos" w:hAnsi="Aptos"/>
                <w:sz w:val="20"/>
                <w:szCs w:val="20"/>
              </w:rPr>
              <w:t xml:space="preserve"> </w:t>
            </w:r>
            <w:r w:rsidRPr="0013603A">
              <w:rPr>
                <w:rFonts w:ascii="Aptos" w:hAnsi="Aptos"/>
                <w:sz w:val="20"/>
                <w:szCs w:val="20"/>
                <w:lang w:val="en-US"/>
              </w:rPr>
              <w:t>Acts on myocardial depolarization and also repolarization. It blocks potassium, sodium and calcium channels as well as beta- and alpha-adrenergic receptors. By prolonging the refractory period, the QT interval is prolonged and makes the cell less excitable.  It suppresses the arrythmia, by slowing the sinus rate, increasing the PR and QT intervals, and decreasing peripheral vascular resistance, leading to vasodilation.</w:t>
            </w:r>
          </w:p>
          <w:p w14:paraId="0E74DBEB" w14:textId="77777777" w:rsidR="0013603A" w:rsidRPr="0013603A" w:rsidRDefault="0013603A" w:rsidP="00F24F94">
            <w:pPr>
              <w:rPr>
                <w:rFonts w:ascii="Aptos" w:hAnsi="Aptos"/>
                <w:sz w:val="20"/>
                <w:szCs w:val="20"/>
                <w:lang w:val="en-US"/>
              </w:rPr>
            </w:pPr>
          </w:p>
        </w:tc>
      </w:tr>
      <w:tr w:rsidR="0013603A" w:rsidRPr="0013603A" w14:paraId="026A6731" w14:textId="77777777" w:rsidTr="00F24F94">
        <w:trPr>
          <w:trHeight w:val="1160"/>
        </w:trPr>
        <w:tc>
          <w:tcPr>
            <w:tcW w:w="2337" w:type="dxa"/>
          </w:tcPr>
          <w:p w14:paraId="3D58606E" w14:textId="20884836" w:rsidR="0013603A" w:rsidRPr="0013603A" w:rsidRDefault="0013603A" w:rsidP="00F24F94">
            <w:pPr>
              <w:rPr>
                <w:rFonts w:ascii="Aptos" w:hAnsi="Aptos"/>
                <w:b/>
                <w:bCs/>
                <w:sz w:val="20"/>
                <w:szCs w:val="20"/>
                <w:lang w:val="en-US"/>
              </w:rPr>
            </w:pPr>
            <w:r w:rsidRPr="0013603A">
              <w:rPr>
                <w:rFonts w:ascii="Aptos" w:hAnsi="Aptos"/>
                <w:b/>
                <w:bCs/>
                <w:sz w:val="20"/>
                <w:szCs w:val="20"/>
                <w:lang w:val="en-US"/>
              </w:rPr>
              <w:t xml:space="preserve">Administration: </w:t>
            </w:r>
          </w:p>
          <w:p w14:paraId="027828EB"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Oral: BID at regular times. Give with meals.</w:t>
            </w:r>
          </w:p>
          <w:p w14:paraId="4A8F49A3" w14:textId="77777777" w:rsidR="0013603A" w:rsidRPr="0013603A" w:rsidRDefault="0013603A" w:rsidP="00F24F94">
            <w:pPr>
              <w:rPr>
                <w:rFonts w:ascii="Aptos" w:hAnsi="Aptos"/>
                <w:sz w:val="20"/>
                <w:szCs w:val="20"/>
                <w:lang w:val="en-US"/>
              </w:rPr>
            </w:pPr>
          </w:p>
          <w:p w14:paraId="56C66163" w14:textId="37D391DB" w:rsidR="0013603A" w:rsidRPr="0013603A" w:rsidRDefault="0013603A" w:rsidP="00F24F94">
            <w:pPr>
              <w:rPr>
                <w:rFonts w:ascii="Aptos" w:hAnsi="Aptos"/>
                <w:sz w:val="20"/>
                <w:szCs w:val="20"/>
                <w:lang w:val="en-US"/>
              </w:rPr>
            </w:pPr>
            <w:r w:rsidRPr="0013603A">
              <w:rPr>
                <w:rFonts w:ascii="Aptos" w:hAnsi="Aptos"/>
                <w:sz w:val="20"/>
                <w:szCs w:val="20"/>
                <w:lang w:val="en-US"/>
              </w:rPr>
              <w:t>IV: loading dose, then slow infusion for short term treatment.</w:t>
            </w:r>
          </w:p>
          <w:p w14:paraId="4A8EC680" w14:textId="77777777" w:rsidR="0013603A" w:rsidRPr="0013603A" w:rsidRDefault="0013603A" w:rsidP="00F24F94">
            <w:pPr>
              <w:rPr>
                <w:rFonts w:ascii="Aptos" w:hAnsi="Aptos"/>
                <w:sz w:val="20"/>
                <w:szCs w:val="20"/>
                <w:lang w:val="en-US"/>
              </w:rPr>
            </w:pPr>
          </w:p>
          <w:p w14:paraId="1392FEA4" w14:textId="7608CC33" w:rsidR="0013603A" w:rsidRPr="0013603A" w:rsidRDefault="0013603A" w:rsidP="00F24F94">
            <w:pPr>
              <w:rPr>
                <w:rFonts w:ascii="Aptos" w:hAnsi="Aptos"/>
                <w:sz w:val="20"/>
                <w:szCs w:val="20"/>
                <w:lang w:val="en-US"/>
              </w:rPr>
            </w:pPr>
            <w:r w:rsidRPr="0013603A">
              <w:rPr>
                <w:rFonts w:ascii="Aptos" w:hAnsi="Aptos"/>
                <w:sz w:val="20"/>
                <w:szCs w:val="20"/>
                <w:lang w:val="en-US"/>
              </w:rPr>
              <w:t>Long duration of action, can be months.</w:t>
            </w:r>
          </w:p>
          <w:p w14:paraId="093FA4BC" w14:textId="77777777" w:rsidR="0013603A" w:rsidRPr="0013603A" w:rsidRDefault="0013603A" w:rsidP="00F24F94">
            <w:pPr>
              <w:rPr>
                <w:rFonts w:ascii="Aptos" w:hAnsi="Aptos"/>
                <w:sz w:val="20"/>
                <w:szCs w:val="20"/>
                <w:lang w:val="en-US"/>
              </w:rPr>
            </w:pPr>
          </w:p>
          <w:p w14:paraId="699F7AE3" w14:textId="77777777" w:rsidR="0013603A" w:rsidRPr="0013603A" w:rsidRDefault="0013603A" w:rsidP="00F24F94">
            <w:pPr>
              <w:rPr>
                <w:rFonts w:ascii="Aptos" w:hAnsi="Aptos"/>
                <w:sz w:val="20"/>
                <w:szCs w:val="20"/>
                <w:lang w:val="en-US"/>
              </w:rPr>
            </w:pPr>
          </w:p>
          <w:p w14:paraId="263A5851" w14:textId="77777777" w:rsidR="0013603A" w:rsidRPr="0013603A" w:rsidRDefault="0013603A" w:rsidP="00F24F94">
            <w:pPr>
              <w:rPr>
                <w:rFonts w:ascii="Aptos" w:hAnsi="Aptos"/>
                <w:sz w:val="20"/>
                <w:szCs w:val="20"/>
                <w:lang w:val="en-US"/>
              </w:rPr>
            </w:pPr>
          </w:p>
        </w:tc>
        <w:tc>
          <w:tcPr>
            <w:tcW w:w="2337" w:type="dxa"/>
          </w:tcPr>
          <w:p w14:paraId="275AECF3" w14:textId="77777777" w:rsidR="0013603A" w:rsidRPr="0013603A" w:rsidRDefault="0013603A" w:rsidP="00F24F94">
            <w:pPr>
              <w:rPr>
                <w:rFonts w:ascii="Aptos" w:hAnsi="Aptos"/>
                <w:b/>
                <w:bCs/>
                <w:sz w:val="20"/>
                <w:szCs w:val="20"/>
                <w:lang w:val="en-US"/>
              </w:rPr>
            </w:pPr>
            <w:r w:rsidRPr="0013603A">
              <w:rPr>
                <w:rFonts w:ascii="Aptos" w:hAnsi="Aptos"/>
                <w:b/>
                <w:bCs/>
                <w:sz w:val="20"/>
                <w:szCs w:val="20"/>
                <w:lang w:val="en-US"/>
              </w:rPr>
              <w:t>Side Effects:</w:t>
            </w:r>
          </w:p>
          <w:p w14:paraId="6640F1BA"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Neuro: tremor, confusion, dizziness, fatigue, peripheral neuropathy, poor coordination, gait issues.</w:t>
            </w:r>
          </w:p>
          <w:p w14:paraId="61E6C847" w14:textId="77777777" w:rsidR="0013603A" w:rsidRPr="0013603A" w:rsidRDefault="0013603A" w:rsidP="00F24F94">
            <w:pPr>
              <w:rPr>
                <w:rFonts w:ascii="Aptos" w:hAnsi="Aptos"/>
                <w:sz w:val="20"/>
                <w:szCs w:val="20"/>
                <w:lang w:val="en-US"/>
              </w:rPr>
            </w:pPr>
          </w:p>
          <w:p w14:paraId="64866966" w14:textId="6261EDA5" w:rsidR="0013603A" w:rsidRPr="0013603A" w:rsidRDefault="0013603A" w:rsidP="00F24F94">
            <w:pPr>
              <w:rPr>
                <w:rFonts w:ascii="Aptos" w:hAnsi="Aptos"/>
                <w:sz w:val="20"/>
                <w:szCs w:val="20"/>
                <w:lang w:val="en-US"/>
              </w:rPr>
            </w:pPr>
            <w:r w:rsidRPr="0013603A">
              <w:rPr>
                <w:rFonts w:ascii="Aptos" w:hAnsi="Aptos"/>
                <w:sz w:val="20"/>
                <w:szCs w:val="20"/>
                <w:lang w:val="en-US"/>
              </w:rPr>
              <w:t>CV: bradycardia, hypotension</w:t>
            </w:r>
          </w:p>
          <w:p w14:paraId="69ABABC7" w14:textId="77777777" w:rsidR="0013603A" w:rsidRPr="0013603A" w:rsidRDefault="0013603A" w:rsidP="00F24F94">
            <w:pPr>
              <w:rPr>
                <w:rFonts w:ascii="Aptos" w:hAnsi="Aptos"/>
                <w:sz w:val="20"/>
                <w:szCs w:val="20"/>
                <w:lang w:val="en-US"/>
              </w:rPr>
            </w:pPr>
          </w:p>
          <w:p w14:paraId="13865F6D" w14:textId="6D9E36DD" w:rsidR="0013603A" w:rsidRPr="0013603A" w:rsidRDefault="0013603A" w:rsidP="00F24F94">
            <w:pPr>
              <w:rPr>
                <w:rFonts w:ascii="Aptos" w:hAnsi="Aptos"/>
                <w:sz w:val="20"/>
                <w:szCs w:val="20"/>
                <w:lang w:val="en-US"/>
              </w:rPr>
            </w:pPr>
            <w:r w:rsidRPr="0013603A">
              <w:rPr>
                <w:rFonts w:ascii="Aptos" w:hAnsi="Aptos"/>
                <w:sz w:val="20"/>
                <w:szCs w:val="20"/>
                <w:lang w:val="en-US"/>
              </w:rPr>
              <w:t>GI: anorexia, constipation, nausea</w:t>
            </w:r>
          </w:p>
          <w:p w14:paraId="1AC09667" w14:textId="77777777" w:rsidR="0013603A" w:rsidRPr="0013603A" w:rsidRDefault="0013603A" w:rsidP="00F24F94">
            <w:pPr>
              <w:rPr>
                <w:rFonts w:ascii="Aptos" w:hAnsi="Aptos"/>
                <w:sz w:val="20"/>
                <w:szCs w:val="20"/>
                <w:lang w:val="en-US"/>
              </w:rPr>
            </w:pPr>
          </w:p>
          <w:p w14:paraId="25078542" w14:textId="79E9D5EB" w:rsidR="0013603A" w:rsidRPr="0013603A" w:rsidRDefault="0013603A" w:rsidP="00F24F94">
            <w:pPr>
              <w:rPr>
                <w:rFonts w:ascii="Aptos" w:hAnsi="Aptos"/>
                <w:sz w:val="20"/>
                <w:szCs w:val="20"/>
                <w:lang w:val="en-US"/>
              </w:rPr>
            </w:pPr>
            <w:r w:rsidRPr="0013603A">
              <w:rPr>
                <w:rFonts w:ascii="Aptos" w:hAnsi="Aptos"/>
                <w:sz w:val="20"/>
                <w:szCs w:val="20"/>
                <w:lang w:val="en-US"/>
              </w:rPr>
              <w:t>Corneal microdeposits, photosensitivity, vision changes (halos, blurred vision)</w:t>
            </w:r>
          </w:p>
          <w:p w14:paraId="2C8FF258" w14:textId="77777777" w:rsidR="0013603A" w:rsidRPr="0013603A" w:rsidRDefault="0013603A" w:rsidP="00F24F94">
            <w:pPr>
              <w:rPr>
                <w:rFonts w:ascii="Aptos" w:hAnsi="Aptos"/>
                <w:sz w:val="20"/>
                <w:szCs w:val="20"/>
                <w:lang w:val="en-US"/>
              </w:rPr>
            </w:pPr>
          </w:p>
          <w:p w14:paraId="2950EABE"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 xml:space="preserve">ACUTE Respiratory issues: wheezing, SOB, fatigue, cough </w:t>
            </w:r>
          </w:p>
          <w:p w14:paraId="3E63E077" w14:textId="77777777" w:rsidR="0013603A" w:rsidRPr="0013603A" w:rsidRDefault="0013603A" w:rsidP="00F24F94">
            <w:pPr>
              <w:rPr>
                <w:rFonts w:ascii="Aptos" w:hAnsi="Aptos"/>
                <w:sz w:val="20"/>
                <w:szCs w:val="20"/>
                <w:lang w:val="en-US"/>
              </w:rPr>
            </w:pPr>
          </w:p>
          <w:p w14:paraId="204A4D86" w14:textId="6956B4D3" w:rsidR="0013603A" w:rsidRPr="0013603A" w:rsidRDefault="0013603A" w:rsidP="00F24F94">
            <w:pPr>
              <w:rPr>
                <w:rFonts w:ascii="Aptos" w:hAnsi="Aptos"/>
                <w:sz w:val="20"/>
                <w:szCs w:val="20"/>
                <w:lang w:val="en-US"/>
              </w:rPr>
            </w:pPr>
            <w:r w:rsidRPr="0013603A">
              <w:rPr>
                <w:rFonts w:ascii="Aptos" w:hAnsi="Aptos"/>
                <w:sz w:val="20"/>
                <w:szCs w:val="20"/>
                <w:lang w:val="en-US"/>
              </w:rPr>
              <w:t>Thyroid issues: decreased tolerance to heat or cold</w:t>
            </w:r>
          </w:p>
          <w:p w14:paraId="5D8CC0A1" w14:textId="77777777" w:rsidR="0013603A" w:rsidRPr="0013603A" w:rsidRDefault="0013603A" w:rsidP="00F24F94">
            <w:pPr>
              <w:rPr>
                <w:rFonts w:ascii="Aptos" w:hAnsi="Aptos"/>
                <w:sz w:val="20"/>
                <w:szCs w:val="20"/>
                <w:lang w:val="en-US"/>
              </w:rPr>
            </w:pPr>
          </w:p>
          <w:p w14:paraId="7BC6CE1B"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SAFETY: Can have fatal toxicities and multiple drug interactions</w:t>
            </w:r>
          </w:p>
        </w:tc>
        <w:tc>
          <w:tcPr>
            <w:tcW w:w="2338" w:type="dxa"/>
          </w:tcPr>
          <w:p w14:paraId="14DDD80C" w14:textId="77777777" w:rsidR="0013603A" w:rsidRPr="0013603A" w:rsidRDefault="0013603A" w:rsidP="00F24F94">
            <w:pPr>
              <w:rPr>
                <w:rFonts w:ascii="Aptos" w:hAnsi="Aptos"/>
                <w:b/>
                <w:bCs/>
                <w:sz w:val="20"/>
                <w:szCs w:val="20"/>
                <w:lang w:val="en-US"/>
              </w:rPr>
            </w:pPr>
            <w:r w:rsidRPr="0013603A">
              <w:rPr>
                <w:rFonts w:ascii="Aptos" w:hAnsi="Aptos"/>
                <w:b/>
                <w:bCs/>
                <w:sz w:val="20"/>
                <w:szCs w:val="20"/>
                <w:lang w:val="en-US"/>
              </w:rPr>
              <w:t xml:space="preserve">Contraindications: </w:t>
            </w:r>
          </w:p>
          <w:p w14:paraId="1DB60FF7"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Use cautiously with older adults with diminished hepatic, renal or cardiac function</w:t>
            </w:r>
          </w:p>
          <w:p w14:paraId="6C8F34C5" w14:textId="77777777" w:rsidR="0013603A" w:rsidRPr="0013603A" w:rsidRDefault="0013603A" w:rsidP="00F24F94">
            <w:pPr>
              <w:rPr>
                <w:rFonts w:ascii="Aptos" w:hAnsi="Aptos"/>
                <w:sz w:val="20"/>
                <w:szCs w:val="20"/>
                <w:lang w:val="en-US"/>
              </w:rPr>
            </w:pPr>
          </w:p>
          <w:p w14:paraId="4CE852B1" w14:textId="6CFA4160" w:rsidR="0013603A" w:rsidRPr="0013603A" w:rsidRDefault="0013603A" w:rsidP="00F24F94">
            <w:pPr>
              <w:rPr>
                <w:rFonts w:ascii="Aptos" w:hAnsi="Aptos"/>
                <w:sz w:val="20"/>
                <w:szCs w:val="20"/>
                <w:lang w:val="en-US"/>
              </w:rPr>
            </w:pPr>
            <w:r w:rsidRPr="0013603A">
              <w:rPr>
                <w:rFonts w:ascii="Aptos" w:hAnsi="Aptos"/>
                <w:sz w:val="20"/>
                <w:szCs w:val="20"/>
                <w:lang w:val="en-US"/>
              </w:rPr>
              <w:t>Drug interactions such as Digoxin, Warfarin, Simvastatin, Sildenafil, Cyclosporine, Quinidine, and</w:t>
            </w:r>
            <w:r w:rsidRPr="0013603A">
              <w:rPr>
                <w:rFonts w:ascii="Aptos" w:hAnsi="Aptos"/>
                <w:sz w:val="20"/>
                <w:szCs w:val="20"/>
                <w:lang w:val="en-US"/>
              </w:rPr>
              <w:t xml:space="preserve"> </w:t>
            </w:r>
            <w:r w:rsidRPr="0013603A">
              <w:rPr>
                <w:rFonts w:ascii="Aptos" w:hAnsi="Aptos"/>
                <w:sz w:val="20"/>
                <w:szCs w:val="20"/>
                <w:lang w:val="en-US"/>
              </w:rPr>
              <w:t>propafenone,</w:t>
            </w:r>
            <w:r w:rsidRPr="0013603A">
              <w:rPr>
                <w:rFonts w:ascii="Aptos" w:hAnsi="Aptos"/>
                <w:sz w:val="20"/>
                <w:szCs w:val="20"/>
                <w:lang w:val="en-US"/>
              </w:rPr>
              <w:t xml:space="preserve"> </w:t>
            </w:r>
            <w:r w:rsidRPr="0013603A">
              <w:rPr>
                <w:rFonts w:ascii="Aptos" w:hAnsi="Aptos"/>
                <w:sz w:val="20"/>
                <w:szCs w:val="20"/>
                <w:lang w:val="en-US"/>
              </w:rPr>
              <w:t>Quinolones and Antidepressants</w:t>
            </w:r>
          </w:p>
          <w:p w14:paraId="07B92426" w14:textId="77777777" w:rsidR="0013603A" w:rsidRPr="0013603A" w:rsidRDefault="0013603A" w:rsidP="00F24F94">
            <w:pPr>
              <w:rPr>
                <w:rFonts w:ascii="Aptos" w:hAnsi="Aptos"/>
                <w:sz w:val="20"/>
                <w:szCs w:val="20"/>
                <w:lang w:val="en-US"/>
              </w:rPr>
            </w:pPr>
          </w:p>
          <w:p w14:paraId="64AC8318"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 xml:space="preserve">Avoid drinking or eating grapefruit juice as it interacts with metabolism </w:t>
            </w:r>
          </w:p>
          <w:p w14:paraId="492E1FE3" w14:textId="77777777" w:rsidR="0013603A" w:rsidRPr="0013603A" w:rsidRDefault="0013603A" w:rsidP="00F24F94">
            <w:pPr>
              <w:rPr>
                <w:rFonts w:ascii="Aptos" w:hAnsi="Aptos"/>
                <w:sz w:val="20"/>
                <w:szCs w:val="20"/>
                <w:lang w:val="en-US"/>
              </w:rPr>
            </w:pPr>
          </w:p>
        </w:tc>
        <w:tc>
          <w:tcPr>
            <w:tcW w:w="2338" w:type="dxa"/>
          </w:tcPr>
          <w:p w14:paraId="098A1E16" w14:textId="77777777" w:rsidR="0013603A" w:rsidRPr="0013603A" w:rsidRDefault="0013603A" w:rsidP="00F24F94">
            <w:pPr>
              <w:rPr>
                <w:rFonts w:ascii="Aptos" w:hAnsi="Aptos"/>
                <w:b/>
                <w:bCs/>
                <w:sz w:val="20"/>
                <w:szCs w:val="20"/>
                <w:lang w:val="en-US"/>
              </w:rPr>
            </w:pPr>
            <w:r w:rsidRPr="0013603A">
              <w:rPr>
                <w:rFonts w:ascii="Aptos" w:hAnsi="Aptos"/>
                <w:b/>
                <w:bCs/>
                <w:sz w:val="20"/>
                <w:szCs w:val="20"/>
                <w:lang w:val="en-US"/>
              </w:rPr>
              <w:t>Nursing Considerations:</w:t>
            </w:r>
          </w:p>
          <w:p w14:paraId="12B0E492"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Continuous ECG monitoring during IV admin.</w:t>
            </w:r>
          </w:p>
          <w:p w14:paraId="5323D3FC" w14:textId="77777777" w:rsidR="0013603A" w:rsidRPr="0013603A" w:rsidRDefault="0013603A" w:rsidP="00F24F94">
            <w:pPr>
              <w:rPr>
                <w:rFonts w:ascii="Aptos" w:hAnsi="Aptos"/>
                <w:sz w:val="20"/>
                <w:szCs w:val="20"/>
                <w:lang w:val="en-US"/>
              </w:rPr>
            </w:pPr>
          </w:p>
          <w:p w14:paraId="273D7FD2" w14:textId="57AAEBC5" w:rsidR="0013603A" w:rsidRPr="0013603A" w:rsidRDefault="0013603A" w:rsidP="00F24F94">
            <w:pPr>
              <w:rPr>
                <w:rFonts w:ascii="Aptos" w:hAnsi="Aptos"/>
                <w:sz w:val="20"/>
                <w:szCs w:val="20"/>
                <w:lang w:val="en-US"/>
              </w:rPr>
            </w:pPr>
            <w:r w:rsidRPr="0013603A">
              <w:rPr>
                <w:rFonts w:ascii="Aptos" w:hAnsi="Aptos"/>
                <w:sz w:val="20"/>
                <w:szCs w:val="20"/>
                <w:lang w:val="en-US"/>
              </w:rPr>
              <w:t>Monitor BP, HR</w:t>
            </w:r>
          </w:p>
          <w:p w14:paraId="7D5D5967"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Assess Lytes, LFTs</w:t>
            </w:r>
          </w:p>
          <w:p w14:paraId="013BB484" w14:textId="77777777" w:rsidR="0013603A" w:rsidRPr="0013603A" w:rsidRDefault="0013603A" w:rsidP="00F24F94">
            <w:pPr>
              <w:rPr>
                <w:rFonts w:ascii="Aptos" w:hAnsi="Aptos"/>
                <w:sz w:val="20"/>
                <w:szCs w:val="20"/>
                <w:lang w:val="en-US"/>
              </w:rPr>
            </w:pPr>
          </w:p>
          <w:p w14:paraId="6A88D53D"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Correct hypokalemia and hypo magnesia before therapy.</w:t>
            </w:r>
          </w:p>
          <w:p w14:paraId="1E69623A" w14:textId="77777777" w:rsidR="0013603A" w:rsidRPr="0013603A" w:rsidRDefault="0013603A" w:rsidP="00F24F94">
            <w:pPr>
              <w:rPr>
                <w:rFonts w:ascii="Aptos" w:hAnsi="Aptos"/>
                <w:sz w:val="20"/>
                <w:szCs w:val="20"/>
                <w:lang w:val="en-US"/>
              </w:rPr>
            </w:pPr>
          </w:p>
          <w:p w14:paraId="4BE9FA93"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Long term therapy: assess thyroid function</w:t>
            </w:r>
          </w:p>
          <w:p w14:paraId="6A3EB962" w14:textId="77777777" w:rsidR="0013603A" w:rsidRPr="0013603A" w:rsidRDefault="0013603A" w:rsidP="00F24F94">
            <w:pPr>
              <w:rPr>
                <w:rFonts w:ascii="Aptos" w:hAnsi="Aptos"/>
                <w:sz w:val="20"/>
                <w:szCs w:val="20"/>
                <w:lang w:val="en-US"/>
              </w:rPr>
            </w:pPr>
          </w:p>
          <w:p w14:paraId="035AD898" w14:textId="77777777" w:rsidR="0013603A" w:rsidRPr="0013603A" w:rsidRDefault="0013603A" w:rsidP="00F24F94">
            <w:pPr>
              <w:rPr>
                <w:rFonts w:ascii="Aptos" w:hAnsi="Aptos"/>
                <w:sz w:val="20"/>
                <w:szCs w:val="20"/>
                <w:lang w:val="en-US"/>
              </w:rPr>
            </w:pPr>
            <w:r w:rsidRPr="0013603A">
              <w:rPr>
                <w:rFonts w:ascii="Aptos" w:hAnsi="Aptos"/>
                <w:sz w:val="20"/>
                <w:szCs w:val="20"/>
                <w:lang w:val="en-US"/>
              </w:rPr>
              <w:t>Remind to use sunblock to prevent sun burns</w:t>
            </w:r>
          </w:p>
          <w:p w14:paraId="4F33F996" w14:textId="77777777" w:rsidR="0013603A" w:rsidRPr="0013603A" w:rsidRDefault="0013603A" w:rsidP="00F24F94">
            <w:pPr>
              <w:rPr>
                <w:rFonts w:ascii="Aptos" w:hAnsi="Aptos"/>
                <w:sz w:val="20"/>
                <w:szCs w:val="20"/>
                <w:lang w:val="en-US"/>
              </w:rPr>
            </w:pPr>
          </w:p>
          <w:p w14:paraId="17FADC71" w14:textId="77777777" w:rsidR="0013603A" w:rsidRPr="0013603A" w:rsidRDefault="0013603A" w:rsidP="00F24F94">
            <w:pPr>
              <w:rPr>
                <w:rFonts w:ascii="Aptos" w:hAnsi="Aptos"/>
                <w:sz w:val="20"/>
                <w:szCs w:val="20"/>
                <w:lang w:val="en-US"/>
              </w:rPr>
            </w:pPr>
          </w:p>
          <w:p w14:paraId="0DE79293" w14:textId="77777777" w:rsidR="0013603A" w:rsidRPr="0013603A" w:rsidRDefault="0013603A" w:rsidP="00F24F94">
            <w:pPr>
              <w:rPr>
                <w:rFonts w:ascii="Aptos" w:hAnsi="Aptos"/>
                <w:sz w:val="20"/>
                <w:szCs w:val="20"/>
                <w:lang w:val="en-US"/>
              </w:rPr>
            </w:pPr>
          </w:p>
          <w:p w14:paraId="07EEDBBC" w14:textId="77777777" w:rsidR="0013603A" w:rsidRPr="0013603A" w:rsidRDefault="0013603A" w:rsidP="00F24F94">
            <w:pPr>
              <w:rPr>
                <w:rFonts w:ascii="Aptos" w:hAnsi="Aptos"/>
                <w:sz w:val="20"/>
                <w:szCs w:val="20"/>
                <w:lang w:val="en-US"/>
              </w:rPr>
            </w:pPr>
          </w:p>
          <w:p w14:paraId="717075F7" w14:textId="77777777" w:rsidR="0013603A" w:rsidRPr="0013603A" w:rsidRDefault="0013603A" w:rsidP="00F24F94">
            <w:pPr>
              <w:rPr>
                <w:rFonts w:ascii="Aptos" w:hAnsi="Aptos"/>
                <w:sz w:val="20"/>
                <w:szCs w:val="20"/>
                <w:lang w:val="en-US"/>
              </w:rPr>
            </w:pPr>
          </w:p>
        </w:tc>
      </w:tr>
    </w:tbl>
    <w:p w14:paraId="3EC8B8C1" w14:textId="77777777" w:rsidR="0013603A" w:rsidRDefault="0013603A"/>
    <w:p w14:paraId="213149B3" w14:textId="77777777" w:rsidR="0013603A" w:rsidRDefault="0013603A"/>
    <w:p w14:paraId="40953E6C" w14:textId="77777777" w:rsidR="0013603A" w:rsidRDefault="0013603A"/>
    <w:sectPr w:rsidR="001360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3A"/>
    <w:rsid w:val="0013603A"/>
    <w:rsid w:val="00464599"/>
    <w:rsid w:val="006D2C2C"/>
    <w:rsid w:val="00734E8C"/>
    <w:rsid w:val="008D01D5"/>
    <w:rsid w:val="0096662A"/>
    <w:rsid w:val="009F730C"/>
    <w:rsid w:val="00F25F3E"/>
    <w:rsid w:val="00F82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44AD61"/>
  <w15:chartTrackingRefBased/>
  <w15:docId w15:val="{0A11EC88-FF79-FC4A-AB69-77966AFE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3A"/>
    <w:pPr>
      <w:spacing w:line="259" w:lineRule="auto"/>
    </w:pPr>
    <w:rPr>
      <w:sz w:val="22"/>
      <w:szCs w:val="22"/>
    </w:rPr>
  </w:style>
  <w:style w:type="paragraph" w:styleId="Heading1">
    <w:name w:val="heading 1"/>
    <w:basedOn w:val="Normal"/>
    <w:next w:val="Normal"/>
    <w:link w:val="Heading1Char"/>
    <w:uiPriority w:val="9"/>
    <w:qFormat/>
    <w:rsid w:val="0013603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03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603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03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3603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3603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3603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3603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3603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03A"/>
    <w:rPr>
      <w:rFonts w:eastAsiaTheme="majorEastAsia" w:cstheme="majorBidi"/>
      <w:color w:val="272727" w:themeColor="text1" w:themeTint="D8"/>
    </w:rPr>
  </w:style>
  <w:style w:type="paragraph" w:styleId="Title">
    <w:name w:val="Title"/>
    <w:basedOn w:val="Normal"/>
    <w:next w:val="Normal"/>
    <w:link w:val="TitleChar"/>
    <w:uiPriority w:val="10"/>
    <w:qFormat/>
    <w:rsid w:val="0013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03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03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3603A"/>
    <w:rPr>
      <w:i/>
      <w:iCs/>
      <w:color w:val="404040" w:themeColor="text1" w:themeTint="BF"/>
    </w:rPr>
  </w:style>
  <w:style w:type="paragraph" w:styleId="ListParagraph">
    <w:name w:val="List Paragraph"/>
    <w:basedOn w:val="Normal"/>
    <w:uiPriority w:val="34"/>
    <w:qFormat/>
    <w:rsid w:val="0013603A"/>
    <w:pPr>
      <w:spacing w:line="278" w:lineRule="auto"/>
      <w:ind w:left="720"/>
      <w:contextualSpacing/>
    </w:pPr>
    <w:rPr>
      <w:sz w:val="24"/>
      <w:szCs w:val="24"/>
    </w:rPr>
  </w:style>
  <w:style w:type="character" w:styleId="IntenseEmphasis">
    <w:name w:val="Intense Emphasis"/>
    <w:basedOn w:val="DefaultParagraphFont"/>
    <w:uiPriority w:val="21"/>
    <w:qFormat/>
    <w:rsid w:val="0013603A"/>
    <w:rPr>
      <w:i/>
      <w:iCs/>
      <w:color w:val="0F4761" w:themeColor="accent1" w:themeShade="BF"/>
    </w:rPr>
  </w:style>
  <w:style w:type="paragraph" w:styleId="IntenseQuote">
    <w:name w:val="Intense Quote"/>
    <w:basedOn w:val="Normal"/>
    <w:next w:val="Normal"/>
    <w:link w:val="IntenseQuoteChar"/>
    <w:uiPriority w:val="30"/>
    <w:qFormat/>
    <w:rsid w:val="001360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3603A"/>
    <w:rPr>
      <w:i/>
      <w:iCs/>
      <w:color w:val="0F4761" w:themeColor="accent1" w:themeShade="BF"/>
    </w:rPr>
  </w:style>
  <w:style w:type="character" w:styleId="IntenseReference">
    <w:name w:val="Intense Reference"/>
    <w:basedOn w:val="DefaultParagraphFont"/>
    <w:uiPriority w:val="32"/>
    <w:qFormat/>
    <w:rsid w:val="0013603A"/>
    <w:rPr>
      <w:b/>
      <w:bCs/>
      <w:smallCaps/>
      <w:color w:val="0F4761" w:themeColor="accent1" w:themeShade="BF"/>
      <w:spacing w:val="5"/>
    </w:rPr>
  </w:style>
  <w:style w:type="table" w:styleId="TableGrid">
    <w:name w:val="Table Grid"/>
    <w:basedOn w:val="TableNormal"/>
    <w:uiPriority w:val="39"/>
    <w:rsid w:val="0013603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1707</Characters>
  <Application>Microsoft Office Word</Application>
  <DocSecurity>0</DocSecurity>
  <Lines>113</Lines>
  <Paragraphs>33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2026-02-26T18:32:00Z</dcterms:created>
  <dcterms:modified xsi:type="dcterms:W3CDTF">2026-02-26T18:36:00Z</dcterms:modified>
</cp:coreProperties>
</file>