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08C4" w14:textId="1729CF82" w:rsidR="000E409B" w:rsidRPr="00761634" w:rsidRDefault="00761634">
      <w:pPr>
        <w:pStyle w:val="Heading1"/>
        <w:rPr>
          <w:rFonts w:ascii="Aptos" w:hAnsi="Aptos"/>
          <w:color w:val="000000" w:themeColor="text1"/>
          <w:sz w:val="20"/>
          <w:szCs w:val="20"/>
        </w:rPr>
      </w:pPr>
      <w:r w:rsidRPr="00761634">
        <w:rPr>
          <w:rFonts w:ascii="Aptos" w:hAnsi="Aptos"/>
          <w:color w:val="000000" w:themeColor="text1"/>
          <w:sz w:val="20"/>
          <w:szCs w:val="20"/>
        </w:rPr>
        <w:t>Allopurinol</w:t>
      </w:r>
      <w:r w:rsidRPr="00761634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="00F4248E" w:rsidRPr="00761634">
        <w:rPr>
          <w:rFonts w:ascii="Aptos" w:hAnsi="Aptos"/>
          <w:color w:val="000000" w:themeColor="text1"/>
          <w:sz w:val="20"/>
          <w:szCs w:val="20"/>
        </w:rPr>
        <w:t>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1965"/>
        <w:gridCol w:w="1922"/>
        <w:gridCol w:w="2807"/>
      </w:tblGrid>
      <w:tr w:rsidR="000E409B" w:rsidRPr="00761634" w14:paraId="20EDE47F" w14:textId="77777777" w:rsidTr="00761634">
        <w:tc>
          <w:tcPr>
            <w:tcW w:w="1951" w:type="dxa"/>
          </w:tcPr>
          <w:p w14:paraId="1167205F" w14:textId="77777777" w:rsidR="000E409B" w:rsidRPr="00761634" w:rsidRDefault="00F4248E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761634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Class:</w:t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  <w:t>Xanthine Oxidase Inhibitors</w:t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Prototype(s):</w:t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  <w:t>Allopurinol (Purinol)</w:t>
            </w:r>
          </w:p>
        </w:tc>
        <w:tc>
          <w:tcPr>
            <w:tcW w:w="6689" w:type="dxa"/>
            <w:gridSpan w:val="3"/>
          </w:tcPr>
          <w:p w14:paraId="3C5195D5" w14:textId="77777777" w:rsidR="000E409B" w:rsidRPr="00761634" w:rsidRDefault="00F4248E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761634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Indications:</w:t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  <w:t>• Treatment of gouty arthritis and nephropathy.</w:t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  <w:t>• Treatment of secondary hyperuricemia.</w:t>
            </w:r>
          </w:p>
        </w:tc>
      </w:tr>
      <w:tr w:rsidR="000E409B" w:rsidRPr="00761634" w14:paraId="470A235B" w14:textId="77777777">
        <w:tc>
          <w:tcPr>
            <w:tcW w:w="8640" w:type="dxa"/>
            <w:gridSpan w:val="4"/>
          </w:tcPr>
          <w:p w14:paraId="6163A6FD" w14:textId="77777777" w:rsidR="000E409B" w:rsidRPr="00761634" w:rsidRDefault="00F4248E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761634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Mechanism of Action:</w:t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Blocks production of uric acid by inhibiting the action of xanthine oxidase.</w:t>
            </w:r>
          </w:p>
        </w:tc>
      </w:tr>
      <w:tr w:rsidR="000E409B" w:rsidRPr="00761634" w14:paraId="4D16CEC5" w14:textId="77777777" w:rsidTr="00761634">
        <w:tc>
          <w:tcPr>
            <w:tcW w:w="1951" w:type="dxa"/>
          </w:tcPr>
          <w:p w14:paraId="6AFB4607" w14:textId="025E9FD0" w:rsidR="000E409B" w:rsidRPr="00761634" w:rsidRDefault="00F4248E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761634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Administration:</w:t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Safe for all ages.</w:t>
            </w:r>
            <w:r w:rsidR="00761634"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Reduce dose for renal impairment.</w:t>
            </w:r>
            <w:r w:rsidR="00761634"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Drink 2.5–3 L/day to decrease the risk of renal stone development.</w:t>
            </w:r>
            <w:r w:rsidR="00761634"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Take after meals.</w:t>
            </w:r>
          </w:p>
        </w:tc>
        <w:tc>
          <w:tcPr>
            <w:tcW w:w="1985" w:type="dxa"/>
          </w:tcPr>
          <w:p w14:paraId="44BA70EE" w14:textId="79FCD7C1" w:rsidR="000E409B" w:rsidRPr="00761634" w:rsidRDefault="00F4248E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761634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Side Effects:</w:t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GI effects common: GI upset, diarrhea, nausea.</w:t>
            </w:r>
            <w:r w:rsidR="00761634"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Hypotension, flushing, drowsiness may occur.</w:t>
            </w:r>
            <w:r w:rsidR="00761634"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Risk of liver and renal dysfunction, or a drug rash with eosinophilia and systemic symptoms (DRESS) syndrome or drug hypersensitivity syndrome.</w:t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  <w:t>SAFETY:</w:t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  <w:t>Discontinue drug at first sign of skin rash.</w:t>
            </w:r>
          </w:p>
        </w:tc>
        <w:tc>
          <w:tcPr>
            <w:tcW w:w="1842" w:type="dxa"/>
          </w:tcPr>
          <w:p w14:paraId="3F8B3400" w14:textId="4CFE0066" w:rsidR="000E409B" w:rsidRPr="00761634" w:rsidRDefault="00F4248E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761634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Contraindications:</w:t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Allergy to allopurinol.</w:t>
            </w:r>
            <w:r w:rsidR="00761634"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Blood dyscrasias.</w:t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Use cautiously with liver disease, renal failure, lactation, or pregnancy.</w:t>
            </w:r>
          </w:p>
        </w:tc>
        <w:tc>
          <w:tcPr>
            <w:tcW w:w="2862" w:type="dxa"/>
          </w:tcPr>
          <w:p w14:paraId="5A56C029" w14:textId="600C5030" w:rsidR="000E409B" w:rsidRPr="00761634" w:rsidRDefault="00F4248E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761634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Nursing Considerations:</w:t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Assess for allergies.</w:t>
            </w:r>
            <w:r w:rsidR="00761634"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Monitor for improvement: decreased pain, swelling, and redness in affected joints.</w:t>
            </w:r>
            <w:r w:rsidR="00761634"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Take as directed.</w:t>
            </w:r>
            <w:r w:rsidR="00761634"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Reduce alcohol consumption.</w:t>
            </w:r>
            <w:r w:rsidR="00761634"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Regular serum uric acid blood work: initially 2–5 weeks after initiation, then every 5 months.</w:t>
            </w:r>
            <w:r w:rsidR="00761634"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Alkaline diet; increase water intake to 2.5–3 L/day to prevent renal calculi.</w:t>
            </w:r>
            <w:r w:rsidR="00761634"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br/>
            </w:r>
            <w:r w:rsidRPr="00761634">
              <w:rPr>
                <w:rFonts w:ascii="Aptos" w:hAnsi="Aptos"/>
                <w:color w:val="000000" w:themeColor="text1"/>
                <w:sz w:val="20"/>
                <w:szCs w:val="20"/>
              </w:rPr>
              <w:t>Report unusual bleeding, bruising, or rash to a health care provider immediately.</w:t>
            </w:r>
          </w:p>
        </w:tc>
      </w:tr>
    </w:tbl>
    <w:p w14:paraId="6360E0BD" w14:textId="77777777" w:rsidR="00F4248E" w:rsidRDefault="00F4248E"/>
    <w:p w14:paraId="49E48117" w14:textId="77777777" w:rsidR="00761634" w:rsidRDefault="00761634"/>
    <w:sectPr w:rsidR="007616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9555742">
    <w:abstractNumId w:val="8"/>
  </w:num>
  <w:num w:numId="2" w16cid:durableId="1535657289">
    <w:abstractNumId w:val="6"/>
  </w:num>
  <w:num w:numId="3" w16cid:durableId="441461429">
    <w:abstractNumId w:val="5"/>
  </w:num>
  <w:num w:numId="4" w16cid:durableId="1796025070">
    <w:abstractNumId w:val="4"/>
  </w:num>
  <w:num w:numId="5" w16cid:durableId="1913545284">
    <w:abstractNumId w:val="7"/>
  </w:num>
  <w:num w:numId="6" w16cid:durableId="1015306954">
    <w:abstractNumId w:val="3"/>
  </w:num>
  <w:num w:numId="7" w16cid:durableId="951060792">
    <w:abstractNumId w:val="2"/>
  </w:num>
  <w:num w:numId="8" w16cid:durableId="2038920248">
    <w:abstractNumId w:val="1"/>
  </w:num>
  <w:num w:numId="9" w16cid:durableId="24407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09B"/>
    <w:rsid w:val="0015074B"/>
    <w:rsid w:val="00261E4D"/>
    <w:rsid w:val="0029639D"/>
    <w:rsid w:val="002D3767"/>
    <w:rsid w:val="00326F90"/>
    <w:rsid w:val="0076163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53BBD"/>
  <w14:defaultImageDpi w14:val="300"/>
  <w15:docId w15:val="{BC0F7488-7DA1-7D47-8CF8-B40A6924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1158</Characters>
  <Application>Microsoft Office Word</Application>
  <DocSecurity>0</DocSecurity>
  <Lines>82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Obando Almache</cp:lastModifiedBy>
  <cp:revision>2</cp:revision>
  <dcterms:created xsi:type="dcterms:W3CDTF">2026-01-15T19:33:00Z</dcterms:created>
  <dcterms:modified xsi:type="dcterms:W3CDTF">2026-01-15T19:33:00Z</dcterms:modified>
  <cp:category/>
</cp:coreProperties>
</file>